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ED2A6" w14:textId="08384E4B" w:rsidR="00BE61B2" w:rsidRPr="00DB7156" w:rsidRDefault="00BE61B2" w:rsidP="00BE61B2">
      <w:pPr>
        <w:spacing w:after="0"/>
        <w:rPr>
          <w:rFonts w:cs="Arial"/>
          <w:b/>
          <w:sz w:val="28"/>
          <w:szCs w:val="28"/>
        </w:rPr>
      </w:pPr>
      <w:bookmarkStart w:id="0" w:name="_Hlk100579549"/>
    </w:p>
    <w:p w14:paraId="47E3F0E3" w14:textId="77777777" w:rsidR="00BE61B2" w:rsidRPr="00DB7156" w:rsidRDefault="00BE61B2" w:rsidP="00BE61B2">
      <w:pPr>
        <w:spacing w:after="0"/>
        <w:rPr>
          <w:rFonts w:cs="Arial"/>
          <w:b/>
          <w:sz w:val="28"/>
          <w:szCs w:val="28"/>
        </w:rPr>
      </w:pPr>
    </w:p>
    <w:p w14:paraId="0E9D1FFE" w14:textId="77777777" w:rsidR="00BE61B2" w:rsidRPr="00DB7156" w:rsidRDefault="00BE61B2" w:rsidP="00BE61B2">
      <w:pPr>
        <w:autoSpaceDE w:val="0"/>
        <w:autoSpaceDN w:val="0"/>
        <w:adjustRightInd w:val="0"/>
        <w:spacing w:after="0"/>
        <w:jc w:val="center"/>
        <w:rPr>
          <w:rFonts w:cs="Arial"/>
          <w:b/>
          <w:color w:val="000080"/>
          <w:sz w:val="44"/>
          <w:szCs w:val="44"/>
        </w:rPr>
      </w:pPr>
      <w:r w:rsidRPr="25EDA888">
        <w:rPr>
          <w:rFonts w:cs="Arial"/>
          <w:b/>
          <w:color w:val="000080"/>
          <w:sz w:val="44"/>
          <w:szCs w:val="44"/>
        </w:rPr>
        <w:t>Environmental Compliance Strategy</w:t>
      </w:r>
    </w:p>
    <w:p w14:paraId="3CE0F97D" w14:textId="77777777" w:rsidR="00BE61B2" w:rsidRPr="00DB7156" w:rsidRDefault="00BE61B2" w:rsidP="00BE61B2">
      <w:pPr>
        <w:autoSpaceDE w:val="0"/>
        <w:autoSpaceDN w:val="0"/>
        <w:adjustRightInd w:val="0"/>
        <w:spacing w:after="0"/>
        <w:jc w:val="center"/>
        <w:rPr>
          <w:rFonts w:cs="Arial"/>
          <w:b/>
          <w:bCs/>
          <w:color w:val="000080"/>
          <w:sz w:val="44"/>
          <w:szCs w:val="28"/>
        </w:rPr>
      </w:pPr>
    </w:p>
    <w:p w14:paraId="1DCFFC51" w14:textId="4465A9DE" w:rsidR="00BE61B2" w:rsidRPr="00DB7156" w:rsidRDefault="00BE61B2" w:rsidP="00BE61B2">
      <w:pPr>
        <w:autoSpaceDE w:val="0"/>
        <w:autoSpaceDN w:val="0"/>
        <w:adjustRightInd w:val="0"/>
        <w:spacing w:after="0"/>
        <w:jc w:val="center"/>
        <w:rPr>
          <w:rFonts w:cs="Arial"/>
          <w:b/>
          <w:color w:val="000080"/>
          <w:sz w:val="36"/>
          <w:szCs w:val="36"/>
        </w:rPr>
      </w:pPr>
      <w:r w:rsidRPr="16982F57">
        <w:rPr>
          <w:rFonts w:cs="Arial"/>
          <w:b/>
          <w:color w:val="000080"/>
          <w:sz w:val="36"/>
          <w:szCs w:val="36"/>
        </w:rPr>
        <w:t>Update for 202</w:t>
      </w:r>
      <w:r w:rsidR="00E936C8">
        <w:rPr>
          <w:rFonts w:cs="Arial"/>
          <w:b/>
          <w:color w:val="000080"/>
          <w:sz w:val="36"/>
          <w:szCs w:val="36"/>
        </w:rPr>
        <w:t>4</w:t>
      </w:r>
    </w:p>
    <w:p w14:paraId="4F0F62FA" w14:textId="77777777" w:rsidR="00BE61B2" w:rsidRPr="00DB7156" w:rsidRDefault="00BE61B2" w:rsidP="00BE61B2">
      <w:pPr>
        <w:spacing w:after="0"/>
        <w:jc w:val="center"/>
        <w:rPr>
          <w:rFonts w:cs="Arial"/>
          <w:szCs w:val="24"/>
        </w:rPr>
      </w:pPr>
    </w:p>
    <w:p w14:paraId="1C54E977" w14:textId="77777777" w:rsidR="00BE61B2" w:rsidRPr="00DB7156" w:rsidRDefault="00BE61B2" w:rsidP="00BE61B2">
      <w:pPr>
        <w:spacing w:after="0"/>
        <w:jc w:val="center"/>
        <w:rPr>
          <w:rFonts w:cs="Arial"/>
          <w:sz w:val="28"/>
          <w:szCs w:val="28"/>
        </w:rPr>
      </w:pPr>
    </w:p>
    <w:p w14:paraId="008D2924" w14:textId="77777777" w:rsidR="00BE61B2" w:rsidRPr="00DB7156" w:rsidRDefault="00BE61B2" w:rsidP="00BE61B2">
      <w:pPr>
        <w:spacing w:after="0"/>
        <w:jc w:val="center"/>
        <w:rPr>
          <w:rFonts w:cs="Arial"/>
          <w:sz w:val="36"/>
          <w:szCs w:val="40"/>
        </w:rPr>
      </w:pPr>
      <w:r w:rsidRPr="00DB7156">
        <w:rPr>
          <w:rFonts w:cs="Arial"/>
          <w:sz w:val="36"/>
          <w:szCs w:val="40"/>
        </w:rPr>
        <w:t>Georgia Power Company</w:t>
      </w:r>
    </w:p>
    <w:p w14:paraId="426FF251" w14:textId="77777777" w:rsidR="00BE61B2" w:rsidRPr="00DB7156" w:rsidRDefault="00BE61B2" w:rsidP="00BE61B2">
      <w:pPr>
        <w:spacing w:after="0"/>
        <w:rPr>
          <w:rFonts w:cs="Arial"/>
          <w:b/>
          <w:bCs/>
          <w:szCs w:val="24"/>
        </w:rPr>
      </w:pPr>
    </w:p>
    <w:p w14:paraId="5BAFD5A8" w14:textId="77777777" w:rsidR="00BE61B2" w:rsidRPr="00DB7156" w:rsidRDefault="00BE61B2" w:rsidP="00BE61B2">
      <w:pPr>
        <w:spacing w:after="0"/>
        <w:rPr>
          <w:rFonts w:cs="Arial"/>
          <w:b/>
          <w:bCs/>
          <w:szCs w:val="24"/>
        </w:rPr>
      </w:pPr>
    </w:p>
    <w:p w14:paraId="03A4773C" w14:textId="77777777" w:rsidR="00BE61B2" w:rsidRPr="00DB7156" w:rsidRDefault="00BE61B2" w:rsidP="00BE61B2">
      <w:pPr>
        <w:pBdr>
          <w:bottom w:val="single" w:sz="18" w:space="1" w:color="CC0000"/>
        </w:pBdr>
        <w:tabs>
          <w:tab w:val="left" w:pos="900"/>
        </w:tabs>
        <w:spacing w:after="0"/>
        <w:ind w:left="540" w:right="540"/>
        <w:rPr>
          <w:rFonts w:cs="Arial"/>
          <w:b/>
          <w:bCs/>
          <w:kern w:val="28"/>
          <w:szCs w:val="32"/>
        </w:rPr>
      </w:pPr>
    </w:p>
    <w:p w14:paraId="577EED2C" w14:textId="77777777" w:rsidR="00BE61B2" w:rsidRPr="00DB7156" w:rsidRDefault="00BE61B2" w:rsidP="00BE61B2">
      <w:pPr>
        <w:tabs>
          <w:tab w:val="left" w:pos="360"/>
          <w:tab w:val="left" w:pos="900"/>
        </w:tabs>
        <w:spacing w:after="0"/>
        <w:rPr>
          <w:rFonts w:cs="Arial"/>
          <w:b/>
          <w:bCs/>
          <w:kern w:val="28"/>
          <w:szCs w:val="32"/>
        </w:rPr>
      </w:pPr>
    </w:p>
    <w:p w14:paraId="3B5D898D" w14:textId="77777777" w:rsidR="00BE61B2" w:rsidRPr="00DB7156" w:rsidRDefault="00BE61B2" w:rsidP="00BE61B2">
      <w:pPr>
        <w:tabs>
          <w:tab w:val="left" w:pos="2520"/>
          <w:tab w:val="left" w:pos="8190"/>
        </w:tabs>
        <w:spacing w:after="0"/>
        <w:ind w:right="-72"/>
        <w:rPr>
          <w:rFonts w:cs="Arial"/>
          <w:szCs w:val="24"/>
        </w:rPr>
      </w:pPr>
    </w:p>
    <w:p w14:paraId="0E72B487" w14:textId="77777777" w:rsidR="00BE61B2" w:rsidRPr="00DB7156" w:rsidRDefault="00BE61B2" w:rsidP="00BE61B2">
      <w:pPr>
        <w:tabs>
          <w:tab w:val="left" w:pos="2520"/>
          <w:tab w:val="left" w:pos="8190"/>
        </w:tabs>
        <w:spacing w:after="0"/>
        <w:ind w:right="-72"/>
        <w:rPr>
          <w:rFonts w:cs="Arial"/>
          <w:szCs w:val="24"/>
        </w:rPr>
      </w:pPr>
    </w:p>
    <w:p w14:paraId="61844B66" w14:textId="77777777" w:rsidR="00BE61B2" w:rsidRPr="00DB7156" w:rsidRDefault="00BE61B2" w:rsidP="00BE61B2">
      <w:pPr>
        <w:tabs>
          <w:tab w:val="left" w:pos="2520"/>
          <w:tab w:val="left" w:pos="8190"/>
        </w:tabs>
        <w:spacing w:after="0"/>
        <w:ind w:right="-72"/>
        <w:rPr>
          <w:rFonts w:cs="Arial"/>
          <w:szCs w:val="24"/>
        </w:rPr>
      </w:pPr>
    </w:p>
    <w:p w14:paraId="55BF3CB0" w14:textId="77777777" w:rsidR="00BE61B2" w:rsidRPr="00DB7156" w:rsidRDefault="00BE61B2" w:rsidP="00BE61B2">
      <w:pPr>
        <w:spacing w:after="0"/>
        <w:rPr>
          <w:rFonts w:cs="Arial"/>
          <w:b/>
          <w:color w:val="000080"/>
          <w:szCs w:val="24"/>
        </w:rPr>
      </w:pPr>
      <w:bookmarkStart w:id="1" w:name="_Hlk528175979"/>
      <w:bookmarkEnd w:id="0"/>
    </w:p>
    <w:p w14:paraId="3F382037" w14:textId="77777777" w:rsidR="004F3973" w:rsidRDefault="004F3973">
      <w:pPr>
        <w:jc w:val="left"/>
        <w:rPr>
          <w:rFonts w:cs="Arial"/>
          <w:b/>
          <w:color w:val="000080"/>
          <w:szCs w:val="24"/>
        </w:rPr>
      </w:pPr>
      <w:r>
        <w:rPr>
          <w:rFonts w:cs="Arial"/>
          <w:b/>
          <w:color w:val="000080"/>
          <w:szCs w:val="24"/>
        </w:rPr>
        <w:br w:type="page"/>
      </w:r>
    </w:p>
    <w:p w14:paraId="5BC2ECA8" w14:textId="77777777" w:rsidR="002404B1" w:rsidRDefault="002404B1" w:rsidP="00BE61B2">
      <w:pPr>
        <w:rPr>
          <w:rFonts w:cs="Arial"/>
          <w:b/>
          <w:color w:val="000080"/>
          <w:szCs w:val="24"/>
        </w:rPr>
        <w:sectPr w:rsidR="002404B1" w:rsidSect="00E57D2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docGrid w:linePitch="360"/>
        </w:sectPr>
      </w:pPr>
    </w:p>
    <w:p w14:paraId="2487FCF0" w14:textId="492583A5" w:rsidR="00BE61B2" w:rsidRPr="00DB7156" w:rsidRDefault="00BE61B2" w:rsidP="00BE61B2">
      <w:pPr>
        <w:rPr>
          <w:rFonts w:cs="Arial"/>
          <w:b/>
          <w:color w:val="000080"/>
          <w:szCs w:val="24"/>
        </w:rPr>
      </w:pPr>
      <w:r w:rsidRPr="00DB7156">
        <w:rPr>
          <w:rFonts w:cs="Arial"/>
          <w:b/>
          <w:color w:val="000080"/>
          <w:szCs w:val="24"/>
        </w:rPr>
        <w:lastRenderedPageBreak/>
        <w:t>FORWARD-LOOKING STATEMENT CAUTIONARY NOTE</w:t>
      </w:r>
    </w:p>
    <w:bookmarkEnd w:id="1"/>
    <w:p w14:paraId="0FFF443B" w14:textId="2A7E1482" w:rsidR="00BE61B2" w:rsidRPr="00676E5E" w:rsidRDefault="00BE61B2" w:rsidP="00BE61B2">
      <w:pPr>
        <w:spacing w:after="0"/>
        <w:rPr>
          <w:rFonts w:cs="Arial"/>
        </w:rPr>
      </w:pPr>
      <w:r w:rsidRPr="718D59B1">
        <w:rPr>
          <w:rFonts w:cs="Arial"/>
        </w:rPr>
        <w:t>Certain information contained in this report is forward-looking information based on current expectations and plans that involve risks and uncertainties. Forward-looking information includes, among other things, statements concerning environmental regulations and related compliance plans and estimated expenditures. Georgia Power cautions that there are certain factors that can cause actual results to differ materially from the forward-looking information that has been provided. The reader is cautioned not to put undue reliance on this forward-looking information, which is not a guarantee of future performance and is subject to a number of uncertainties and other factors, many of which are outside the control of Georgia Power; accordingly, there can be no assurance that such suggested results will be realized. The following factors, in addition to those discussed in Georgia Power’s Annual Report on Form 10-K for the fiscal year ended December 31, 202</w:t>
      </w:r>
      <w:r w:rsidR="00E936C8">
        <w:rPr>
          <w:rFonts w:cs="Arial"/>
        </w:rPr>
        <w:t>3</w:t>
      </w:r>
      <w:r w:rsidRPr="718D59B1">
        <w:rPr>
          <w:rFonts w:cs="Arial"/>
        </w:rPr>
        <w:t xml:space="preserve"> and subsequent securities filings, could cause actual results to differ materially from management expectations as suggested by such forward-looking information:</w:t>
      </w:r>
      <w:r w:rsidRPr="718D59B1">
        <w:rPr>
          <w:rFonts w:cs="Arial"/>
          <w:b/>
        </w:rPr>
        <w:t xml:space="preserve"> </w:t>
      </w:r>
      <w:r w:rsidRPr="718D59B1">
        <w:rPr>
          <w:rFonts w:cs="Arial"/>
        </w:rPr>
        <w:t>the impact of recent and future federal and state regulatory changes, including tax, environmental, and other laws and regulations to which Georgia Power is subject, as well as changes in application of existing laws and regulations; the extent and timing of costs and legal requirements related to coal combustion residuals;</w:t>
      </w:r>
      <w:r w:rsidRPr="00FB61DD">
        <w:t xml:space="preserve"> </w:t>
      </w:r>
      <w:r w:rsidRPr="718D59B1">
        <w:rPr>
          <w:rFonts w:cs="Arial"/>
        </w:rPr>
        <w:t>current and future litigation or regulatory investigations, proceedings, or inquiries; the ability to control costs and avoid cost and schedule overruns during the development, construction and operation of facilities or other projects; the ability to construct facilities in accordance with the requirements of permits and licenses and to satisfy any environmental performance standards and the requirements of tax credits and other incentives; advances in technology</w:t>
      </w:r>
      <w:r w:rsidR="69459142" w:rsidRPr="10B266A5">
        <w:rPr>
          <w:rFonts w:cs="Arial"/>
        </w:rPr>
        <w:t>, including the pace and extent of development of low- to no-carbon energy and battery energy storage technologies and negative carbon concepts</w:t>
      </w:r>
      <w:r w:rsidRPr="718D59B1">
        <w:rPr>
          <w:rFonts w:cs="Arial"/>
        </w:rPr>
        <w:t xml:space="preserve">; state and federal rate regulations and the impact of pending and future rate cases and negotiations, including rate actions relating to cost recovery mechanisms; catastrophic events such as fires, earthquakes, explosions, floods, tornadoes, hurricanes and other storms, droughts, pandemic health events, political unrest, </w:t>
      </w:r>
      <w:r w:rsidR="6F3A5A52" w:rsidRPr="718D59B1">
        <w:rPr>
          <w:rFonts w:cs="Arial"/>
        </w:rPr>
        <w:t xml:space="preserve">wars </w:t>
      </w:r>
      <w:r w:rsidRPr="718D59B1">
        <w:rPr>
          <w:rFonts w:cs="Arial"/>
        </w:rPr>
        <w:t xml:space="preserve">or other similar occurrences; and the effect of accounting </w:t>
      </w:r>
      <w:r w:rsidR="07AC3CBA" w:rsidRPr="33EDE500">
        <w:rPr>
          <w:rFonts w:cs="Arial"/>
        </w:rPr>
        <w:t>pronouncements</w:t>
      </w:r>
      <w:r w:rsidRPr="718D59B1">
        <w:rPr>
          <w:rFonts w:cs="Arial"/>
        </w:rPr>
        <w:t xml:space="preserve"> issued periodically by standard-setting bodies. Georgia Power expressly disclaims any obligation to update any forward-looking information.</w:t>
      </w:r>
    </w:p>
    <w:p w14:paraId="5FFDCDF5" w14:textId="77777777" w:rsidR="002404B1" w:rsidRDefault="00BE61B2" w:rsidP="00C942DB">
      <w:pPr>
        <w:pStyle w:val="Heading1"/>
        <w:spacing w:before="120" w:after="0"/>
        <w:rPr>
          <w:rFonts w:cs="Arial"/>
          <w:iCs/>
          <w:color w:val="000000"/>
          <w:szCs w:val="24"/>
        </w:rPr>
        <w:sectPr w:rsidR="002404B1" w:rsidSect="00E57D27">
          <w:pgSz w:w="12240" w:h="15840"/>
          <w:pgMar w:top="1440" w:right="1440" w:bottom="1440" w:left="1440" w:header="720" w:footer="720" w:gutter="0"/>
          <w:pgNumType w:start="1"/>
          <w:cols w:space="720"/>
          <w:docGrid w:linePitch="360"/>
        </w:sectPr>
      </w:pPr>
      <w:r w:rsidRPr="00DB7156">
        <w:rPr>
          <w:rFonts w:cs="Arial"/>
          <w:iCs/>
          <w:color w:val="000000"/>
          <w:szCs w:val="24"/>
        </w:rPr>
        <w:br w:type="page"/>
      </w:r>
    </w:p>
    <w:p w14:paraId="60A838A0" w14:textId="14970069" w:rsidR="007C0BCE" w:rsidRPr="00191759" w:rsidRDefault="006D1531" w:rsidP="00C942DB">
      <w:pPr>
        <w:pStyle w:val="Heading1"/>
        <w:spacing w:before="120" w:after="0"/>
        <w:rPr>
          <w:b/>
          <w:bCs/>
        </w:rPr>
      </w:pPr>
      <w:bookmarkStart w:id="2" w:name="_Toc130200993"/>
      <w:r>
        <w:rPr>
          <w:b/>
          <w:bCs/>
        </w:rPr>
        <w:lastRenderedPageBreak/>
        <w:t>202</w:t>
      </w:r>
      <w:r w:rsidR="00E936C8">
        <w:rPr>
          <w:b/>
          <w:bCs/>
        </w:rPr>
        <w:t>4</w:t>
      </w:r>
      <w:r w:rsidR="005634FD">
        <w:rPr>
          <w:b/>
          <w:bCs/>
        </w:rPr>
        <w:t xml:space="preserve"> </w:t>
      </w:r>
      <w:r w:rsidR="00287ADF" w:rsidRPr="00191759">
        <w:rPr>
          <w:b/>
          <w:bCs/>
        </w:rPr>
        <w:t>Environmental Compliance Strategy Executive Summary</w:t>
      </w:r>
      <w:bookmarkEnd w:id="2"/>
    </w:p>
    <w:p w14:paraId="1EDC30EE" w14:textId="38167F3C" w:rsidR="00BC61F0" w:rsidRDefault="00BC61F0" w:rsidP="00C942DB">
      <w:pPr>
        <w:spacing w:before="120" w:after="0" w:line="240" w:lineRule="auto"/>
      </w:pPr>
      <w:r>
        <w:t>Georgia Power’s 202</w:t>
      </w:r>
      <w:r w:rsidR="005634FD">
        <w:t>4</w:t>
      </w:r>
      <w:r>
        <w:t xml:space="preserve"> Environmental Compliance Strategy (“ECS”)</w:t>
      </w:r>
      <w:r w:rsidR="00377557">
        <w:t xml:space="preserve"> continues to </w:t>
      </w:r>
      <w:r w:rsidR="00F21DDA">
        <w:t>apply</w:t>
      </w:r>
      <w:r w:rsidR="00377557">
        <w:t xml:space="preserve"> </w:t>
      </w:r>
      <w:r w:rsidR="00347696">
        <w:t xml:space="preserve">a comprehensive annual process to review, refine, </w:t>
      </w:r>
      <w:r w:rsidR="00EC11DC">
        <w:t>and/</w:t>
      </w:r>
      <w:r w:rsidR="00347696">
        <w:t xml:space="preserve">or update </w:t>
      </w:r>
      <w:r w:rsidR="00034E54">
        <w:t xml:space="preserve">the 10-year outlook for environmental control plans. The goals of the Company’s strategy </w:t>
      </w:r>
      <w:r w:rsidR="00C25700">
        <w:t>are</w:t>
      </w:r>
      <w:r w:rsidR="00034E54">
        <w:t xml:space="preserve"> to </w:t>
      </w:r>
      <w:r w:rsidR="00347696">
        <w:t>ensure compliance and provide cost</w:t>
      </w:r>
      <w:r w:rsidR="000B4515">
        <w:t>-</w:t>
      </w:r>
      <w:r w:rsidR="00347696">
        <w:t>effective solutions</w:t>
      </w:r>
      <w:r w:rsidR="004F6633">
        <w:t xml:space="preserve"> for the generating fleet that are</w:t>
      </w:r>
      <w:r w:rsidR="00347696">
        <w:t xml:space="preserve"> in the best interest</w:t>
      </w:r>
      <w:r w:rsidR="00EF2700">
        <w:t>s</w:t>
      </w:r>
      <w:r w:rsidR="00347696">
        <w:t xml:space="preserve"> of customers.</w:t>
      </w:r>
      <w:r w:rsidR="00473B15">
        <w:t xml:space="preserve"> </w:t>
      </w:r>
      <w:r w:rsidR="002D0C47">
        <w:t>In 2023,</w:t>
      </w:r>
      <w:r w:rsidR="00191FB1">
        <w:t xml:space="preserve"> several important developments occurred relevant to the ECS</w:t>
      </w:r>
      <w:r w:rsidR="009B1B7F">
        <w:t xml:space="preserve">, including </w:t>
      </w:r>
      <w:r w:rsidR="009425AB">
        <w:t xml:space="preserve">significant progress in </w:t>
      </w:r>
      <w:r w:rsidR="008F1FB1">
        <w:t xml:space="preserve">permitting and </w:t>
      </w:r>
      <w:r w:rsidR="00B65695">
        <w:t xml:space="preserve">project </w:t>
      </w:r>
      <w:r w:rsidR="009425AB">
        <w:t>construction</w:t>
      </w:r>
      <w:r w:rsidR="009B1B7F">
        <w:t xml:space="preserve">; </w:t>
      </w:r>
      <w:r w:rsidR="00123515">
        <w:t xml:space="preserve">several </w:t>
      </w:r>
      <w:r w:rsidR="008F1FB1">
        <w:t>proposed and potentially impact</w:t>
      </w:r>
      <w:r w:rsidR="000C0893">
        <w:t>f</w:t>
      </w:r>
      <w:r w:rsidR="008F1FB1">
        <w:t xml:space="preserve">ul </w:t>
      </w:r>
      <w:r w:rsidR="00CD444F">
        <w:t>Environmental Protection Agency (“EPA”) rules</w:t>
      </w:r>
      <w:r w:rsidR="00123515">
        <w:t xml:space="preserve">; and, </w:t>
      </w:r>
      <w:r w:rsidR="00265AA0">
        <w:t>w</w:t>
      </w:r>
      <w:r w:rsidR="00264C82">
        <w:t xml:space="preserve">ith the rapid economic and load growth that Georgia is expected to experience over the next ten years, </w:t>
      </w:r>
      <w:r w:rsidR="00462AB9">
        <w:t>propos</w:t>
      </w:r>
      <w:r w:rsidR="007D27DF">
        <w:t>als to build</w:t>
      </w:r>
      <w:r w:rsidR="00462AB9">
        <w:t xml:space="preserve"> </w:t>
      </w:r>
      <w:r w:rsidR="0016090C">
        <w:t xml:space="preserve">new combustion turbines at Plant Yates </w:t>
      </w:r>
      <w:r w:rsidR="00FC1B14">
        <w:t>and</w:t>
      </w:r>
      <w:r w:rsidR="00F52E95">
        <w:t xml:space="preserve"> </w:t>
      </w:r>
      <w:r w:rsidR="00317D7D">
        <w:t xml:space="preserve">new </w:t>
      </w:r>
      <w:r w:rsidR="0016090C">
        <w:t>solar and battery storage projects</w:t>
      </w:r>
      <w:r w:rsidR="00B97825">
        <w:t>, subject to Public Service Commission (“PSC”</w:t>
      </w:r>
      <w:r w:rsidR="00394985">
        <w:t xml:space="preserve"> or “Commission</w:t>
      </w:r>
      <w:r w:rsidR="00B97825">
        <w:t>”) approval</w:t>
      </w:r>
      <w:r w:rsidR="0016090C">
        <w:t xml:space="preserve">. </w:t>
      </w:r>
      <w:r w:rsidR="00E35858">
        <w:t>T</w:t>
      </w:r>
      <w:r w:rsidR="00432B07">
        <w:t xml:space="preserve">he </w:t>
      </w:r>
      <w:r w:rsidR="003E07F8">
        <w:t>202</w:t>
      </w:r>
      <w:r w:rsidR="00B932D7">
        <w:t>4</w:t>
      </w:r>
      <w:r w:rsidR="003E07F8">
        <w:t xml:space="preserve"> ECS include</w:t>
      </w:r>
      <w:r w:rsidR="00473F7A">
        <w:t>s</w:t>
      </w:r>
      <w:r w:rsidR="003E07F8">
        <w:t xml:space="preserve"> the </w:t>
      </w:r>
      <w:r w:rsidR="009B5A6D">
        <w:t xml:space="preserve">following </w:t>
      </w:r>
      <w:r w:rsidR="00502594">
        <w:t xml:space="preserve">key </w:t>
      </w:r>
      <w:r w:rsidR="006C4BB5">
        <w:t>topics</w:t>
      </w:r>
      <w:r w:rsidR="00754A17">
        <w:t>:</w:t>
      </w:r>
    </w:p>
    <w:p w14:paraId="6009DB72" w14:textId="2CBBE767" w:rsidR="001B23EF" w:rsidRDefault="00245E05" w:rsidP="00A82E72">
      <w:pPr>
        <w:numPr>
          <w:ilvl w:val="0"/>
          <w:numId w:val="1"/>
        </w:numPr>
        <w:spacing w:before="120" w:after="0" w:line="240" w:lineRule="auto"/>
        <w:ind w:left="360"/>
        <w:rPr>
          <w:b/>
          <w:i/>
        </w:rPr>
      </w:pPr>
      <w:r>
        <w:rPr>
          <w:b/>
          <w:i/>
        </w:rPr>
        <w:t xml:space="preserve">EPA’s proposed </w:t>
      </w:r>
      <w:r w:rsidR="00D5578F">
        <w:rPr>
          <w:b/>
          <w:i/>
        </w:rPr>
        <w:t xml:space="preserve">greenhouse gas </w:t>
      </w:r>
      <w:r w:rsidR="00CC0122">
        <w:rPr>
          <w:b/>
          <w:i/>
        </w:rPr>
        <w:t xml:space="preserve">(“GHG”) </w:t>
      </w:r>
      <w:r w:rsidR="00D5578F">
        <w:rPr>
          <w:b/>
          <w:i/>
        </w:rPr>
        <w:t xml:space="preserve">emission </w:t>
      </w:r>
      <w:r>
        <w:rPr>
          <w:b/>
          <w:i/>
        </w:rPr>
        <w:t xml:space="preserve">standards and guidelines </w:t>
      </w:r>
      <w:r w:rsidR="005F6748">
        <w:rPr>
          <w:b/>
          <w:i/>
        </w:rPr>
        <w:t xml:space="preserve">increase </w:t>
      </w:r>
      <w:r w:rsidR="00D9352E">
        <w:rPr>
          <w:b/>
          <w:i/>
        </w:rPr>
        <w:t xml:space="preserve">reliability and affordability </w:t>
      </w:r>
      <w:r w:rsidR="005F6748">
        <w:rPr>
          <w:b/>
          <w:i/>
        </w:rPr>
        <w:t>risks</w:t>
      </w:r>
      <w:r w:rsidR="00E3250C">
        <w:rPr>
          <w:b/>
          <w:i/>
        </w:rPr>
        <w:t>,</w:t>
      </w:r>
      <w:r>
        <w:rPr>
          <w:b/>
          <w:i/>
        </w:rPr>
        <w:t xml:space="preserve"> </w:t>
      </w:r>
      <w:r w:rsidRPr="00E6714B">
        <w:rPr>
          <w:b/>
          <w:i/>
        </w:rPr>
        <w:t>but</w:t>
      </w:r>
      <w:r>
        <w:rPr>
          <w:b/>
          <w:i/>
        </w:rPr>
        <w:t xml:space="preserve"> considerable uncertainty remains</w:t>
      </w:r>
      <w:r w:rsidR="009C5CDD">
        <w:rPr>
          <w:b/>
          <w:i/>
        </w:rPr>
        <w:t>.</w:t>
      </w:r>
    </w:p>
    <w:p w14:paraId="3728B047" w14:textId="59C22BBD" w:rsidR="00B62700" w:rsidRPr="00B62700" w:rsidRDefault="0046525E" w:rsidP="00A82E72">
      <w:pPr>
        <w:spacing w:before="120" w:after="0" w:line="240" w:lineRule="auto"/>
        <w:rPr>
          <w:bCs/>
          <w:iCs/>
        </w:rPr>
      </w:pPr>
      <w:r>
        <w:rPr>
          <w:bCs/>
          <w:iCs/>
        </w:rPr>
        <w:t xml:space="preserve">Georgia Power </w:t>
      </w:r>
      <w:r w:rsidR="00BD08E9">
        <w:rPr>
          <w:bCs/>
          <w:iCs/>
        </w:rPr>
        <w:t>continues to work</w:t>
      </w:r>
      <w:r w:rsidR="000500BF">
        <w:rPr>
          <w:bCs/>
          <w:iCs/>
        </w:rPr>
        <w:t xml:space="preserve"> with the Commission to pursue </w:t>
      </w:r>
      <w:r>
        <w:rPr>
          <w:bCs/>
          <w:iCs/>
        </w:rPr>
        <w:t xml:space="preserve">a </w:t>
      </w:r>
      <w:r w:rsidR="002C4E70">
        <w:rPr>
          <w:bCs/>
          <w:iCs/>
        </w:rPr>
        <w:t xml:space="preserve">responsible </w:t>
      </w:r>
      <w:r>
        <w:rPr>
          <w:bCs/>
          <w:iCs/>
        </w:rPr>
        <w:t xml:space="preserve">fleet transition </w:t>
      </w:r>
      <w:r w:rsidR="00D85E76">
        <w:rPr>
          <w:bCs/>
          <w:iCs/>
        </w:rPr>
        <w:t>through a well-balanced and diversified approach</w:t>
      </w:r>
      <w:r w:rsidR="00D85E76" w:rsidRPr="00A21458">
        <w:rPr>
          <w:bCs/>
          <w:iCs/>
        </w:rPr>
        <w:t xml:space="preserve"> </w:t>
      </w:r>
      <w:r w:rsidR="00855E40">
        <w:rPr>
          <w:bCs/>
          <w:iCs/>
        </w:rPr>
        <w:t>to supply clean, safe, reliable, and affordable electricity to customers</w:t>
      </w:r>
      <w:r>
        <w:rPr>
          <w:bCs/>
          <w:iCs/>
        </w:rPr>
        <w:t>.</w:t>
      </w:r>
      <w:r w:rsidR="004625D8">
        <w:rPr>
          <w:bCs/>
          <w:iCs/>
        </w:rPr>
        <w:t xml:space="preserve"> </w:t>
      </w:r>
      <w:r w:rsidR="00BD17BD">
        <w:rPr>
          <w:bCs/>
          <w:iCs/>
        </w:rPr>
        <w:t xml:space="preserve">While EPA has recently announced that existing natural gas </w:t>
      </w:r>
      <w:r w:rsidR="00AC707A">
        <w:rPr>
          <w:bCs/>
          <w:iCs/>
        </w:rPr>
        <w:t xml:space="preserve">requirements </w:t>
      </w:r>
      <w:r w:rsidR="00BD17BD">
        <w:rPr>
          <w:bCs/>
          <w:iCs/>
        </w:rPr>
        <w:t xml:space="preserve">would not be finalized at this time, </w:t>
      </w:r>
      <w:r w:rsidR="007A2E9F">
        <w:rPr>
          <w:bCs/>
          <w:iCs/>
        </w:rPr>
        <w:t xml:space="preserve">the </w:t>
      </w:r>
      <w:r w:rsidR="00D97BE1">
        <w:rPr>
          <w:bCs/>
          <w:iCs/>
        </w:rPr>
        <w:t xml:space="preserve">2023 </w:t>
      </w:r>
      <w:r w:rsidR="007A2E9F">
        <w:rPr>
          <w:bCs/>
          <w:iCs/>
        </w:rPr>
        <w:t>propos</w:t>
      </w:r>
      <w:r w:rsidR="00D97BE1">
        <w:rPr>
          <w:bCs/>
          <w:iCs/>
        </w:rPr>
        <w:t>ed</w:t>
      </w:r>
      <w:r w:rsidR="00F86F0F">
        <w:rPr>
          <w:bCs/>
          <w:iCs/>
        </w:rPr>
        <w:t xml:space="preserve"> GHG</w:t>
      </w:r>
      <w:r w:rsidR="00D97BE1">
        <w:rPr>
          <w:bCs/>
          <w:iCs/>
        </w:rPr>
        <w:t xml:space="preserve"> rules</w:t>
      </w:r>
      <w:r w:rsidR="00C03BE6">
        <w:rPr>
          <w:bCs/>
          <w:iCs/>
        </w:rPr>
        <w:t xml:space="preserve"> </w:t>
      </w:r>
      <w:r w:rsidR="00AC707A">
        <w:rPr>
          <w:bCs/>
          <w:iCs/>
        </w:rPr>
        <w:t xml:space="preserve">for the power sector </w:t>
      </w:r>
      <w:r w:rsidR="00280D62">
        <w:rPr>
          <w:bCs/>
          <w:iCs/>
        </w:rPr>
        <w:t>c</w:t>
      </w:r>
      <w:r w:rsidR="00D97BE1">
        <w:rPr>
          <w:bCs/>
          <w:iCs/>
        </w:rPr>
        <w:t xml:space="preserve">ould </w:t>
      </w:r>
      <w:r w:rsidR="00BE3AD5">
        <w:rPr>
          <w:bCs/>
          <w:iCs/>
        </w:rPr>
        <w:t>increase</w:t>
      </w:r>
      <w:r w:rsidR="00966EDD">
        <w:rPr>
          <w:bCs/>
          <w:iCs/>
        </w:rPr>
        <w:t xml:space="preserve"> reliability and affordability </w:t>
      </w:r>
      <w:r w:rsidR="00BE3AD5">
        <w:rPr>
          <w:bCs/>
          <w:iCs/>
        </w:rPr>
        <w:t xml:space="preserve">risks by </w:t>
      </w:r>
      <w:r w:rsidR="002C3662">
        <w:rPr>
          <w:bCs/>
          <w:iCs/>
        </w:rPr>
        <w:t xml:space="preserve">potentially </w:t>
      </w:r>
      <w:r w:rsidR="00A15DD8">
        <w:rPr>
          <w:bCs/>
          <w:iCs/>
        </w:rPr>
        <w:t>forc</w:t>
      </w:r>
      <w:r w:rsidR="00D60F3E">
        <w:rPr>
          <w:bCs/>
          <w:iCs/>
        </w:rPr>
        <w:t>ing</w:t>
      </w:r>
      <w:r w:rsidR="002C3662">
        <w:rPr>
          <w:bCs/>
          <w:iCs/>
        </w:rPr>
        <w:t xml:space="preserve"> early </w:t>
      </w:r>
      <w:r w:rsidR="00171C9E">
        <w:rPr>
          <w:bCs/>
          <w:iCs/>
        </w:rPr>
        <w:t xml:space="preserve">coal </w:t>
      </w:r>
      <w:r w:rsidR="002C3662">
        <w:rPr>
          <w:bCs/>
          <w:iCs/>
        </w:rPr>
        <w:t xml:space="preserve">retirements and </w:t>
      </w:r>
      <w:r w:rsidR="003D0861">
        <w:rPr>
          <w:bCs/>
          <w:iCs/>
        </w:rPr>
        <w:t xml:space="preserve">imposing </w:t>
      </w:r>
      <w:r w:rsidR="00BA4348">
        <w:rPr>
          <w:bCs/>
          <w:iCs/>
        </w:rPr>
        <w:t xml:space="preserve">severe </w:t>
      </w:r>
      <w:r w:rsidR="002C3662">
        <w:rPr>
          <w:bCs/>
          <w:iCs/>
        </w:rPr>
        <w:t xml:space="preserve">operational constraints </w:t>
      </w:r>
      <w:r w:rsidR="00171C9E">
        <w:rPr>
          <w:bCs/>
          <w:iCs/>
        </w:rPr>
        <w:t xml:space="preserve">on coal and </w:t>
      </w:r>
      <w:r w:rsidR="00D97BE1">
        <w:rPr>
          <w:bCs/>
          <w:iCs/>
        </w:rPr>
        <w:t xml:space="preserve">new </w:t>
      </w:r>
      <w:r w:rsidR="00D92D2B">
        <w:rPr>
          <w:bCs/>
          <w:iCs/>
        </w:rPr>
        <w:t xml:space="preserve">natural gas </w:t>
      </w:r>
      <w:r w:rsidR="002C5E5A">
        <w:rPr>
          <w:bCs/>
          <w:iCs/>
        </w:rPr>
        <w:t>combined-cycle units</w:t>
      </w:r>
      <w:r w:rsidR="002C3662">
        <w:rPr>
          <w:bCs/>
          <w:iCs/>
        </w:rPr>
        <w:t xml:space="preserve">. </w:t>
      </w:r>
      <w:r w:rsidR="00D97BE1">
        <w:rPr>
          <w:bCs/>
          <w:iCs/>
        </w:rPr>
        <w:t xml:space="preserve">EPA’s </w:t>
      </w:r>
      <w:r w:rsidR="00516E41">
        <w:rPr>
          <w:bCs/>
          <w:iCs/>
        </w:rPr>
        <w:t xml:space="preserve">proposed alternatives to early </w:t>
      </w:r>
      <w:r w:rsidR="00DC7514">
        <w:rPr>
          <w:bCs/>
          <w:iCs/>
        </w:rPr>
        <w:t xml:space="preserve">coal </w:t>
      </w:r>
      <w:r w:rsidR="00516E41">
        <w:rPr>
          <w:bCs/>
          <w:iCs/>
        </w:rPr>
        <w:t>retirements or operational constraints</w:t>
      </w:r>
      <w:r w:rsidR="00EC18C4">
        <w:rPr>
          <w:bCs/>
          <w:iCs/>
        </w:rPr>
        <w:t xml:space="preserve"> (i.e.,</w:t>
      </w:r>
      <w:r w:rsidR="00516E41">
        <w:rPr>
          <w:bCs/>
          <w:iCs/>
        </w:rPr>
        <w:t xml:space="preserve"> </w:t>
      </w:r>
      <w:r w:rsidR="00EC2269">
        <w:rPr>
          <w:bCs/>
          <w:iCs/>
        </w:rPr>
        <w:t xml:space="preserve">carbon capture and sequestration (“CCS”) </w:t>
      </w:r>
      <w:r w:rsidR="00FB3731">
        <w:rPr>
          <w:bCs/>
          <w:iCs/>
        </w:rPr>
        <w:t>or</w:t>
      </w:r>
      <w:r w:rsidR="00EC2269">
        <w:rPr>
          <w:bCs/>
          <w:iCs/>
        </w:rPr>
        <w:t xml:space="preserve"> low greenhouse gas hydrogen co-firing</w:t>
      </w:r>
      <w:r w:rsidR="00EC18C4">
        <w:rPr>
          <w:bCs/>
          <w:iCs/>
        </w:rPr>
        <w:t>)</w:t>
      </w:r>
      <w:r w:rsidR="00D97BE1">
        <w:rPr>
          <w:bCs/>
          <w:iCs/>
        </w:rPr>
        <w:t xml:space="preserve"> are based on unrealistic compliance </w:t>
      </w:r>
      <w:r w:rsidR="00E60DA3">
        <w:rPr>
          <w:bCs/>
          <w:iCs/>
        </w:rPr>
        <w:t>timelines</w:t>
      </w:r>
      <w:r w:rsidR="00D97BE1">
        <w:rPr>
          <w:bCs/>
          <w:iCs/>
        </w:rPr>
        <w:t xml:space="preserve"> and discount major infrastructure challenges for implementation. </w:t>
      </w:r>
      <w:r w:rsidR="005F6533">
        <w:rPr>
          <w:bCs/>
          <w:iCs/>
        </w:rPr>
        <w:t xml:space="preserve">While </w:t>
      </w:r>
      <w:r w:rsidR="00943F4D">
        <w:rPr>
          <w:bCs/>
          <w:iCs/>
        </w:rPr>
        <w:t>new un</w:t>
      </w:r>
      <w:r w:rsidR="00A73AB7">
        <w:rPr>
          <w:bCs/>
          <w:iCs/>
        </w:rPr>
        <w:t>i</w:t>
      </w:r>
      <w:r w:rsidR="00943F4D">
        <w:rPr>
          <w:bCs/>
          <w:iCs/>
        </w:rPr>
        <w:t xml:space="preserve">ts would be subject to the final </w:t>
      </w:r>
      <w:r w:rsidR="005F6533">
        <w:rPr>
          <w:bCs/>
          <w:iCs/>
        </w:rPr>
        <w:t>standards</w:t>
      </w:r>
      <w:r w:rsidR="00872007">
        <w:rPr>
          <w:bCs/>
          <w:iCs/>
        </w:rPr>
        <w:t xml:space="preserve"> immediately</w:t>
      </w:r>
      <w:r w:rsidR="009A58F7">
        <w:rPr>
          <w:bCs/>
          <w:iCs/>
        </w:rPr>
        <w:t xml:space="preserve">, </w:t>
      </w:r>
      <w:r w:rsidR="00D74201">
        <w:rPr>
          <w:bCs/>
          <w:iCs/>
        </w:rPr>
        <w:t>the Georgia Environmental Protection Division</w:t>
      </w:r>
      <w:r w:rsidR="00B95498">
        <w:rPr>
          <w:bCs/>
          <w:iCs/>
        </w:rPr>
        <w:t xml:space="preserve"> (“EPD”)</w:t>
      </w:r>
      <w:r w:rsidR="00D74201">
        <w:rPr>
          <w:bCs/>
          <w:iCs/>
        </w:rPr>
        <w:t xml:space="preserve"> </w:t>
      </w:r>
      <w:r w:rsidR="00CC03F2">
        <w:rPr>
          <w:bCs/>
          <w:iCs/>
        </w:rPr>
        <w:t xml:space="preserve">will be </w:t>
      </w:r>
      <w:r w:rsidR="006D5E70">
        <w:rPr>
          <w:bCs/>
          <w:iCs/>
        </w:rPr>
        <w:t xml:space="preserve">responsible for </w:t>
      </w:r>
      <w:r w:rsidR="008D6C6B">
        <w:rPr>
          <w:bCs/>
          <w:iCs/>
        </w:rPr>
        <w:t xml:space="preserve">developing a state plan </w:t>
      </w:r>
      <w:r w:rsidR="00B91231">
        <w:rPr>
          <w:bCs/>
          <w:iCs/>
        </w:rPr>
        <w:t xml:space="preserve">to </w:t>
      </w:r>
      <w:r w:rsidR="00D74201">
        <w:rPr>
          <w:bCs/>
          <w:iCs/>
        </w:rPr>
        <w:t xml:space="preserve">set </w:t>
      </w:r>
      <w:r w:rsidR="008B231F">
        <w:rPr>
          <w:bCs/>
          <w:iCs/>
        </w:rPr>
        <w:t xml:space="preserve">final </w:t>
      </w:r>
      <w:r w:rsidR="005C41A0">
        <w:rPr>
          <w:bCs/>
          <w:iCs/>
        </w:rPr>
        <w:t>sta</w:t>
      </w:r>
      <w:r w:rsidR="00E066F0">
        <w:rPr>
          <w:bCs/>
          <w:iCs/>
        </w:rPr>
        <w:t>n</w:t>
      </w:r>
      <w:r w:rsidR="005C41A0">
        <w:rPr>
          <w:bCs/>
          <w:iCs/>
        </w:rPr>
        <w:t>dards</w:t>
      </w:r>
      <w:r w:rsidR="003B45FF">
        <w:rPr>
          <w:bCs/>
          <w:iCs/>
        </w:rPr>
        <w:t xml:space="preserve"> </w:t>
      </w:r>
      <w:r w:rsidR="00B91231">
        <w:rPr>
          <w:bCs/>
          <w:iCs/>
        </w:rPr>
        <w:t>for existing units</w:t>
      </w:r>
      <w:r w:rsidR="00A25560">
        <w:rPr>
          <w:bCs/>
          <w:iCs/>
        </w:rPr>
        <w:t xml:space="preserve">. </w:t>
      </w:r>
      <w:r w:rsidR="0047133F">
        <w:rPr>
          <w:bCs/>
          <w:iCs/>
        </w:rPr>
        <w:t xml:space="preserve">The </w:t>
      </w:r>
      <w:r w:rsidR="00A25560">
        <w:rPr>
          <w:bCs/>
          <w:iCs/>
        </w:rPr>
        <w:t xml:space="preserve">state plan </w:t>
      </w:r>
      <w:r w:rsidR="0047133F">
        <w:rPr>
          <w:bCs/>
          <w:iCs/>
        </w:rPr>
        <w:t xml:space="preserve">process and </w:t>
      </w:r>
      <w:r w:rsidR="00FF0FD4">
        <w:rPr>
          <w:bCs/>
          <w:iCs/>
        </w:rPr>
        <w:t xml:space="preserve">EPA </w:t>
      </w:r>
      <w:r w:rsidR="0047133F">
        <w:rPr>
          <w:bCs/>
          <w:iCs/>
        </w:rPr>
        <w:t>review and approval</w:t>
      </w:r>
      <w:r w:rsidR="00C632F1">
        <w:rPr>
          <w:bCs/>
          <w:iCs/>
        </w:rPr>
        <w:t xml:space="preserve"> </w:t>
      </w:r>
      <w:r w:rsidR="0032091E">
        <w:rPr>
          <w:bCs/>
          <w:iCs/>
        </w:rPr>
        <w:t xml:space="preserve">can </w:t>
      </w:r>
      <w:r w:rsidR="00C632F1">
        <w:rPr>
          <w:bCs/>
          <w:iCs/>
        </w:rPr>
        <w:t xml:space="preserve">take up to three years </w:t>
      </w:r>
      <w:r w:rsidR="00A25560">
        <w:rPr>
          <w:bCs/>
          <w:iCs/>
        </w:rPr>
        <w:t>under the proposal</w:t>
      </w:r>
      <w:r w:rsidR="00B37B2C">
        <w:rPr>
          <w:bCs/>
          <w:iCs/>
        </w:rPr>
        <w:t>.</w:t>
      </w:r>
      <w:r w:rsidR="00BB7F82">
        <w:rPr>
          <w:bCs/>
          <w:iCs/>
        </w:rPr>
        <w:t xml:space="preserve"> </w:t>
      </w:r>
      <w:r w:rsidR="00980E01">
        <w:rPr>
          <w:bCs/>
          <w:iCs/>
        </w:rPr>
        <w:t>W</w:t>
      </w:r>
      <w:r w:rsidR="00503C9B">
        <w:rPr>
          <w:bCs/>
          <w:iCs/>
        </w:rPr>
        <w:t>ith uncertainty</w:t>
      </w:r>
      <w:r w:rsidR="00A727BC">
        <w:rPr>
          <w:bCs/>
          <w:iCs/>
        </w:rPr>
        <w:t xml:space="preserve"> in both final rule and state plan requirements</w:t>
      </w:r>
      <w:r w:rsidR="00503C9B">
        <w:rPr>
          <w:bCs/>
          <w:iCs/>
        </w:rPr>
        <w:t xml:space="preserve">, </w:t>
      </w:r>
      <w:r w:rsidR="00BB7F82">
        <w:rPr>
          <w:bCs/>
          <w:iCs/>
        </w:rPr>
        <w:t xml:space="preserve">it is premature to </w:t>
      </w:r>
      <w:r w:rsidR="00BB7F82" w:rsidRPr="00E6714B">
        <w:t>develop</w:t>
      </w:r>
      <w:r w:rsidR="00BB7F82">
        <w:rPr>
          <w:bCs/>
          <w:iCs/>
        </w:rPr>
        <w:t xml:space="preserve"> compliance strategies for </w:t>
      </w:r>
      <w:r w:rsidR="00805207">
        <w:rPr>
          <w:bCs/>
          <w:iCs/>
        </w:rPr>
        <w:t xml:space="preserve">the Georgia Power </w:t>
      </w:r>
      <w:r w:rsidR="00C23DA2">
        <w:rPr>
          <w:bCs/>
          <w:iCs/>
        </w:rPr>
        <w:t>g</w:t>
      </w:r>
      <w:r w:rsidR="00BB7F82">
        <w:rPr>
          <w:bCs/>
          <w:iCs/>
        </w:rPr>
        <w:t>enerating fleet</w:t>
      </w:r>
      <w:r w:rsidR="00771FB8">
        <w:rPr>
          <w:bCs/>
          <w:iCs/>
        </w:rPr>
        <w:t xml:space="preserve"> </w:t>
      </w:r>
      <w:proofErr w:type="gramStart"/>
      <w:r w:rsidR="00771FB8">
        <w:rPr>
          <w:bCs/>
          <w:iCs/>
        </w:rPr>
        <w:t>at this time</w:t>
      </w:r>
      <w:proofErr w:type="gramEnd"/>
      <w:r w:rsidR="00C30FC6">
        <w:rPr>
          <w:bCs/>
          <w:iCs/>
        </w:rPr>
        <w:t>.</w:t>
      </w:r>
      <w:r w:rsidR="00F93BBE">
        <w:rPr>
          <w:bCs/>
          <w:iCs/>
        </w:rPr>
        <w:t xml:space="preserve"> </w:t>
      </w:r>
      <w:r w:rsidR="00C30FC6">
        <w:rPr>
          <w:bCs/>
          <w:iCs/>
        </w:rPr>
        <w:t>T</w:t>
      </w:r>
      <w:r w:rsidR="00980E01">
        <w:rPr>
          <w:bCs/>
          <w:iCs/>
        </w:rPr>
        <w:t xml:space="preserve">he Company </w:t>
      </w:r>
      <w:r w:rsidR="00694F38">
        <w:rPr>
          <w:bCs/>
          <w:iCs/>
        </w:rPr>
        <w:t xml:space="preserve">will </w:t>
      </w:r>
      <w:r w:rsidR="00D37AC2">
        <w:rPr>
          <w:bCs/>
          <w:iCs/>
        </w:rPr>
        <w:t>assess the final rules, expected in 2024</w:t>
      </w:r>
      <w:r w:rsidR="00C30FC6">
        <w:rPr>
          <w:bCs/>
          <w:iCs/>
        </w:rPr>
        <w:t xml:space="preserve">, and </w:t>
      </w:r>
      <w:r w:rsidR="00CD2F25">
        <w:rPr>
          <w:bCs/>
          <w:iCs/>
        </w:rPr>
        <w:t xml:space="preserve">is committed to </w:t>
      </w:r>
      <w:r w:rsidR="00C30FC6">
        <w:rPr>
          <w:bCs/>
          <w:iCs/>
        </w:rPr>
        <w:t>work</w:t>
      </w:r>
      <w:r w:rsidR="00CD2F25">
        <w:rPr>
          <w:bCs/>
          <w:iCs/>
        </w:rPr>
        <w:t xml:space="preserve">ing </w:t>
      </w:r>
      <w:r w:rsidR="00C30FC6">
        <w:rPr>
          <w:bCs/>
          <w:iCs/>
        </w:rPr>
        <w:t>with Georgia EPD on the state plan</w:t>
      </w:r>
      <w:r w:rsidR="00BB7F82">
        <w:rPr>
          <w:bCs/>
          <w:iCs/>
        </w:rPr>
        <w:t>.</w:t>
      </w:r>
      <w:r w:rsidR="00C2154F" w:rsidRPr="00C2154F">
        <w:rPr>
          <w:bCs/>
          <w:iCs/>
        </w:rPr>
        <w:t xml:space="preserve"> </w:t>
      </w:r>
    </w:p>
    <w:p w14:paraId="3BEA0FE4" w14:textId="25424C2B" w:rsidR="001B23EF" w:rsidRDefault="00663F10" w:rsidP="00A82E72">
      <w:pPr>
        <w:numPr>
          <w:ilvl w:val="0"/>
          <w:numId w:val="1"/>
        </w:numPr>
        <w:spacing w:before="120" w:after="0" w:line="240" w:lineRule="auto"/>
        <w:ind w:left="360"/>
        <w:rPr>
          <w:b/>
          <w:i/>
        </w:rPr>
      </w:pPr>
      <w:r>
        <w:rPr>
          <w:b/>
          <w:i/>
        </w:rPr>
        <w:t>EPA’s proposed effluent limitations guidelines</w:t>
      </w:r>
      <w:r w:rsidR="00F66DAC">
        <w:rPr>
          <w:b/>
          <w:i/>
        </w:rPr>
        <w:t xml:space="preserve"> </w:t>
      </w:r>
      <w:r w:rsidR="003C08C5">
        <w:rPr>
          <w:b/>
          <w:i/>
        </w:rPr>
        <w:t xml:space="preserve">(“ELG”) </w:t>
      </w:r>
      <w:r w:rsidR="00EA4A92">
        <w:rPr>
          <w:b/>
          <w:i/>
        </w:rPr>
        <w:t xml:space="preserve">may </w:t>
      </w:r>
      <w:r w:rsidR="00DC09F2">
        <w:rPr>
          <w:b/>
          <w:i/>
        </w:rPr>
        <w:t>require</w:t>
      </w:r>
      <w:r w:rsidR="00F66DAC">
        <w:rPr>
          <w:b/>
          <w:i/>
        </w:rPr>
        <w:t xml:space="preserve"> </w:t>
      </w:r>
      <w:r w:rsidR="00B35CCF">
        <w:rPr>
          <w:b/>
          <w:i/>
        </w:rPr>
        <w:t xml:space="preserve">additional </w:t>
      </w:r>
      <w:r w:rsidR="0083702A">
        <w:rPr>
          <w:b/>
          <w:i/>
        </w:rPr>
        <w:t>scrubber wastewater treatment</w:t>
      </w:r>
      <w:r w:rsidR="00F66DAC">
        <w:rPr>
          <w:b/>
          <w:i/>
        </w:rPr>
        <w:t xml:space="preserve"> </w:t>
      </w:r>
      <w:r w:rsidR="002433F3">
        <w:rPr>
          <w:b/>
          <w:i/>
        </w:rPr>
        <w:t>at Plant Bowen</w:t>
      </w:r>
      <w:r w:rsidR="00224D34">
        <w:rPr>
          <w:b/>
          <w:i/>
        </w:rPr>
        <w:t xml:space="preserve">, despite </w:t>
      </w:r>
      <w:r w:rsidR="005D6946">
        <w:rPr>
          <w:b/>
          <w:i/>
        </w:rPr>
        <w:t xml:space="preserve">the </w:t>
      </w:r>
      <w:r w:rsidR="00224D34">
        <w:rPr>
          <w:b/>
          <w:i/>
        </w:rPr>
        <w:t xml:space="preserve">current </w:t>
      </w:r>
      <w:r w:rsidR="005D6946">
        <w:rPr>
          <w:b/>
          <w:i/>
        </w:rPr>
        <w:t>treatment project in progress</w:t>
      </w:r>
      <w:r w:rsidR="009C5CDD">
        <w:rPr>
          <w:b/>
          <w:i/>
        </w:rPr>
        <w:t>.</w:t>
      </w:r>
    </w:p>
    <w:p w14:paraId="129A846F" w14:textId="731156FC" w:rsidR="00143454" w:rsidRPr="00A73402" w:rsidRDefault="00656BC4" w:rsidP="00A82E72">
      <w:pPr>
        <w:spacing w:before="120" w:after="0" w:line="240" w:lineRule="auto"/>
        <w:rPr>
          <w:bCs/>
          <w:iCs/>
        </w:rPr>
      </w:pPr>
      <w:r>
        <w:rPr>
          <w:bCs/>
          <w:iCs/>
        </w:rPr>
        <w:t>E</w:t>
      </w:r>
      <w:r w:rsidR="00EA7A79">
        <w:rPr>
          <w:bCs/>
          <w:iCs/>
        </w:rPr>
        <w:t>ven though</w:t>
      </w:r>
      <w:r w:rsidR="009C3AF8">
        <w:rPr>
          <w:bCs/>
          <w:iCs/>
        </w:rPr>
        <w:t xml:space="preserve"> implementation of </w:t>
      </w:r>
      <w:r w:rsidR="007643DD">
        <w:rPr>
          <w:bCs/>
          <w:iCs/>
        </w:rPr>
        <w:t xml:space="preserve">the </w:t>
      </w:r>
      <w:r w:rsidR="009C3AF8">
        <w:rPr>
          <w:bCs/>
          <w:iCs/>
        </w:rPr>
        <w:t xml:space="preserve">existing </w:t>
      </w:r>
      <w:r w:rsidR="007643DD">
        <w:rPr>
          <w:bCs/>
          <w:iCs/>
        </w:rPr>
        <w:t>rule</w:t>
      </w:r>
      <w:r w:rsidR="009C3AF8">
        <w:rPr>
          <w:bCs/>
          <w:iCs/>
        </w:rPr>
        <w:t xml:space="preserve"> is </w:t>
      </w:r>
      <w:r w:rsidR="00EA7A79">
        <w:rPr>
          <w:bCs/>
          <w:iCs/>
        </w:rPr>
        <w:t>not yet</w:t>
      </w:r>
      <w:r w:rsidR="009C3AF8">
        <w:rPr>
          <w:bCs/>
          <w:iCs/>
        </w:rPr>
        <w:t xml:space="preserve"> complete, </w:t>
      </w:r>
      <w:r w:rsidR="00A73402">
        <w:rPr>
          <w:bCs/>
          <w:iCs/>
        </w:rPr>
        <w:t>EPA</w:t>
      </w:r>
      <w:r w:rsidR="001537FC">
        <w:rPr>
          <w:bCs/>
          <w:iCs/>
        </w:rPr>
        <w:t>’s 2023</w:t>
      </w:r>
      <w:r w:rsidR="002236CC">
        <w:rPr>
          <w:bCs/>
          <w:iCs/>
        </w:rPr>
        <w:t xml:space="preserve"> proposed </w:t>
      </w:r>
      <w:r w:rsidR="00870BCD">
        <w:rPr>
          <w:bCs/>
          <w:iCs/>
        </w:rPr>
        <w:t xml:space="preserve">Supplemental ELG Rule </w:t>
      </w:r>
      <w:r w:rsidR="00735233">
        <w:rPr>
          <w:bCs/>
          <w:iCs/>
        </w:rPr>
        <w:t>would</w:t>
      </w:r>
      <w:r w:rsidR="00A73402">
        <w:rPr>
          <w:bCs/>
          <w:iCs/>
        </w:rPr>
        <w:t xml:space="preserve"> make </w:t>
      </w:r>
      <w:r w:rsidR="002E29F8">
        <w:rPr>
          <w:bCs/>
          <w:iCs/>
        </w:rPr>
        <w:t xml:space="preserve">certain requirements </w:t>
      </w:r>
      <w:r w:rsidR="00A73402">
        <w:rPr>
          <w:bCs/>
          <w:iCs/>
        </w:rPr>
        <w:t>more stringent</w:t>
      </w:r>
      <w:r w:rsidR="007643DD">
        <w:rPr>
          <w:bCs/>
          <w:iCs/>
        </w:rPr>
        <w:t>,</w:t>
      </w:r>
      <w:r w:rsidR="00A73402">
        <w:rPr>
          <w:bCs/>
          <w:iCs/>
        </w:rPr>
        <w:t xml:space="preserve"> </w:t>
      </w:r>
      <w:r w:rsidR="00DC1488">
        <w:rPr>
          <w:bCs/>
          <w:iCs/>
        </w:rPr>
        <w:t>with compliance required</w:t>
      </w:r>
      <w:r w:rsidR="00A066E3">
        <w:rPr>
          <w:bCs/>
          <w:iCs/>
        </w:rPr>
        <w:t xml:space="preserve"> no later than</w:t>
      </w:r>
      <w:r w:rsidR="001A792C">
        <w:rPr>
          <w:bCs/>
          <w:iCs/>
        </w:rPr>
        <w:t xml:space="preserve"> 2029</w:t>
      </w:r>
      <w:r w:rsidR="00A73402">
        <w:rPr>
          <w:bCs/>
          <w:iCs/>
        </w:rPr>
        <w:t>.</w:t>
      </w:r>
      <w:r w:rsidR="00210307">
        <w:rPr>
          <w:bCs/>
          <w:iCs/>
        </w:rPr>
        <w:t xml:space="preserve"> </w:t>
      </w:r>
      <w:r w:rsidR="00D00F3B">
        <w:rPr>
          <w:bCs/>
          <w:iCs/>
        </w:rPr>
        <w:t>The</w:t>
      </w:r>
      <w:r w:rsidR="000C498F">
        <w:rPr>
          <w:bCs/>
          <w:iCs/>
        </w:rPr>
        <w:t xml:space="preserve"> </w:t>
      </w:r>
      <w:r w:rsidR="006622DD">
        <w:rPr>
          <w:bCs/>
          <w:iCs/>
        </w:rPr>
        <w:t xml:space="preserve">scrubber wastewater </w:t>
      </w:r>
      <w:r w:rsidR="003D745A">
        <w:rPr>
          <w:bCs/>
          <w:iCs/>
        </w:rPr>
        <w:t xml:space="preserve">standards </w:t>
      </w:r>
      <w:r w:rsidR="003E6530">
        <w:rPr>
          <w:bCs/>
          <w:iCs/>
        </w:rPr>
        <w:t xml:space="preserve">in the proposal </w:t>
      </w:r>
      <w:r w:rsidR="00CB6268">
        <w:rPr>
          <w:bCs/>
          <w:iCs/>
        </w:rPr>
        <w:t xml:space="preserve">are based on </w:t>
      </w:r>
      <w:r w:rsidR="000C498F">
        <w:rPr>
          <w:bCs/>
          <w:iCs/>
        </w:rPr>
        <w:t xml:space="preserve">membrane </w:t>
      </w:r>
      <w:r w:rsidR="00DC6594">
        <w:rPr>
          <w:bCs/>
          <w:iCs/>
        </w:rPr>
        <w:t>treatment</w:t>
      </w:r>
      <w:r w:rsidR="00D00F3B">
        <w:rPr>
          <w:bCs/>
          <w:iCs/>
        </w:rPr>
        <w:t>,</w:t>
      </w:r>
      <w:r w:rsidR="00341E89">
        <w:rPr>
          <w:bCs/>
          <w:iCs/>
        </w:rPr>
        <w:t xml:space="preserve"> </w:t>
      </w:r>
      <w:r w:rsidR="000C498F">
        <w:rPr>
          <w:bCs/>
          <w:iCs/>
        </w:rPr>
        <w:t xml:space="preserve">but </w:t>
      </w:r>
      <w:r w:rsidR="00D00F3B">
        <w:rPr>
          <w:bCs/>
          <w:iCs/>
        </w:rPr>
        <w:t xml:space="preserve">EPA </w:t>
      </w:r>
      <w:r w:rsidR="00EE1FC6">
        <w:rPr>
          <w:bCs/>
          <w:iCs/>
        </w:rPr>
        <w:t>greatly underestimate</w:t>
      </w:r>
      <w:r w:rsidR="00D00F3B">
        <w:rPr>
          <w:bCs/>
          <w:iCs/>
        </w:rPr>
        <w:t>s</w:t>
      </w:r>
      <w:r w:rsidR="00EE1FC6">
        <w:rPr>
          <w:bCs/>
          <w:iCs/>
        </w:rPr>
        <w:t xml:space="preserve"> </w:t>
      </w:r>
      <w:r w:rsidR="0040574C">
        <w:rPr>
          <w:bCs/>
          <w:iCs/>
        </w:rPr>
        <w:t xml:space="preserve">site-specific factors </w:t>
      </w:r>
      <w:r w:rsidR="00520275">
        <w:rPr>
          <w:bCs/>
          <w:iCs/>
        </w:rPr>
        <w:t xml:space="preserve">for the </w:t>
      </w:r>
      <w:r w:rsidR="001712E6">
        <w:rPr>
          <w:bCs/>
          <w:iCs/>
        </w:rPr>
        <w:t xml:space="preserve">emerging </w:t>
      </w:r>
      <w:r w:rsidR="00520275">
        <w:rPr>
          <w:bCs/>
          <w:iCs/>
        </w:rPr>
        <w:t xml:space="preserve">technology </w:t>
      </w:r>
      <w:r w:rsidR="0040574C">
        <w:rPr>
          <w:bCs/>
          <w:iCs/>
        </w:rPr>
        <w:t xml:space="preserve">and </w:t>
      </w:r>
      <w:r w:rsidR="00EE1FC6">
        <w:rPr>
          <w:bCs/>
          <w:iCs/>
        </w:rPr>
        <w:t xml:space="preserve">the cost of compliance. </w:t>
      </w:r>
      <w:r w:rsidR="00F20CCE">
        <w:rPr>
          <w:bCs/>
          <w:iCs/>
        </w:rPr>
        <w:t>For</w:t>
      </w:r>
      <w:r w:rsidR="001C17DC">
        <w:rPr>
          <w:bCs/>
          <w:iCs/>
        </w:rPr>
        <w:t xml:space="preserve"> Plant Bowen, </w:t>
      </w:r>
      <w:r w:rsidR="00D329E5">
        <w:rPr>
          <w:bCs/>
          <w:iCs/>
        </w:rPr>
        <w:t xml:space="preserve">where physical-chemical-biological treatment </w:t>
      </w:r>
      <w:r w:rsidR="00812BF2">
        <w:rPr>
          <w:bCs/>
          <w:iCs/>
        </w:rPr>
        <w:t xml:space="preserve">systems are </w:t>
      </w:r>
      <w:r w:rsidR="00D329E5">
        <w:rPr>
          <w:bCs/>
          <w:iCs/>
        </w:rPr>
        <w:t>nearing completion</w:t>
      </w:r>
      <w:r w:rsidR="003C1B0B">
        <w:rPr>
          <w:bCs/>
          <w:iCs/>
        </w:rPr>
        <w:t xml:space="preserve"> to meet existing ELG requirements</w:t>
      </w:r>
      <w:r w:rsidR="00D329E5">
        <w:rPr>
          <w:bCs/>
          <w:iCs/>
        </w:rPr>
        <w:t xml:space="preserve">, </w:t>
      </w:r>
      <w:r w:rsidR="00ED2846">
        <w:rPr>
          <w:bCs/>
          <w:iCs/>
        </w:rPr>
        <w:t xml:space="preserve">the Company obtained </w:t>
      </w:r>
      <w:r w:rsidR="00D658B9">
        <w:rPr>
          <w:bCs/>
          <w:iCs/>
        </w:rPr>
        <w:t xml:space="preserve">a </w:t>
      </w:r>
      <w:r w:rsidR="009B2F58">
        <w:rPr>
          <w:bCs/>
          <w:iCs/>
        </w:rPr>
        <w:t xml:space="preserve">pre-screening </w:t>
      </w:r>
      <w:r w:rsidR="00C1687E">
        <w:rPr>
          <w:bCs/>
          <w:iCs/>
        </w:rPr>
        <w:t xml:space="preserve">capital cost </w:t>
      </w:r>
      <w:r w:rsidR="009B2F58">
        <w:rPr>
          <w:bCs/>
          <w:iCs/>
        </w:rPr>
        <w:t>estimate</w:t>
      </w:r>
      <w:r w:rsidR="00ED2846">
        <w:rPr>
          <w:bCs/>
          <w:iCs/>
        </w:rPr>
        <w:t xml:space="preserve"> of</w:t>
      </w:r>
      <w:r w:rsidR="009B2F58">
        <w:rPr>
          <w:bCs/>
          <w:iCs/>
        </w:rPr>
        <w:t xml:space="preserve"> </w:t>
      </w:r>
      <w:r w:rsidR="003C1B0B">
        <w:rPr>
          <w:bCs/>
          <w:iCs/>
        </w:rPr>
        <w:t xml:space="preserve">approximately $580M for </w:t>
      </w:r>
      <w:r w:rsidR="00AA5DA0">
        <w:rPr>
          <w:bCs/>
          <w:iCs/>
        </w:rPr>
        <w:t xml:space="preserve">a </w:t>
      </w:r>
      <w:r w:rsidR="00210307">
        <w:rPr>
          <w:bCs/>
          <w:iCs/>
        </w:rPr>
        <w:t>membrane-based treatment system</w:t>
      </w:r>
      <w:r w:rsidR="00A06581">
        <w:rPr>
          <w:bCs/>
          <w:iCs/>
        </w:rPr>
        <w:t xml:space="preserve">. </w:t>
      </w:r>
      <w:r w:rsidR="00C1687E">
        <w:rPr>
          <w:bCs/>
          <w:iCs/>
        </w:rPr>
        <w:t>In addition</w:t>
      </w:r>
      <w:r w:rsidR="00A6694A">
        <w:rPr>
          <w:bCs/>
          <w:iCs/>
        </w:rPr>
        <w:t xml:space="preserve">, the </w:t>
      </w:r>
      <w:r w:rsidR="00065098">
        <w:rPr>
          <w:bCs/>
          <w:iCs/>
        </w:rPr>
        <w:t xml:space="preserve">proposed </w:t>
      </w:r>
      <w:r w:rsidR="00A6694A">
        <w:rPr>
          <w:bCs/>
          <w:iCs/>
        </w:rPr>
        <w:t>zero liquid discharge require</w:t>
      </w:r>
      <w:r w:rsidR="00F91112">
        <w:rPr>
          <w:bCs/>
          <w:iCs/>
        </w:rPr>
        <w:t xml:space="preserve">ment </w:t>
      </w:r>
      <w:r w:rsidR="00097C04">
        <w:rPr>
          <w:bCs/>
          <w:iCs/>
        </w:rPr>
        <w:t xml:space="preserve">for scrubber wastewater </w:t>
      </w:r>
      <w:r w:rsidR="00F91112">
        <w:rPr>
          <w:bCs/>
          <w:iCs/>
        </w:rPr>
        <w:t xml:space="preserve">could </w:t>
      </w:r>
      <w:r w:rsidR="00273F07">
        <w:rPr>
          <w:bCs/>
          <w:iCs/>
        </w:rPr>
        <w:t xml:space="preserve">result in </w:t>
      </w:r>
      <w:r w:rsidR="002C0A36">
        <w:rPr>
          <w:bCs/>
          <w:iCs/>
        </w:rPr>
        <w:t>operational constrain</w:t>
      </w:r>
      <w:r w:rsidR="00955F87">
        <w:rPr>
          <w:bCs/>
          <w:iCs/>
        </w:rPr>
        <w:t>t</w:t>
      </w:r>
      <w:r w:rsidR="002C0A36">
        <w:rPr>
          <w:bCs/>
          <w:iCs/>
        </w:rPr>
        <w:t xml:space="preserve">s, forcing a </w:t>
      </w:r>
      <w:r w:rsidR="006A3B48">
        <w:rPr>
          <w:bCs/>
          <w:iCs/>
        </w:rPr>
        <w:t xml:space="preserve">unit to operate </w:t>
      </w:r>
      <w:r w:rsidR="000324F1">
        <w:rPr>
          <w:bCs/>
          <w:iCs/>
        </w:rPr>
        <w:t>out of economic dispatch</w:t>
      </w:r>
      <w:r w:rsidR="006A3B48">
        <w:rPr>
          <w:bCs/>
          <w:iCs/>
        </w:rPr>
        <w:t xml:space="preserve"> </w:t>
      </w:r>
      <w:proofErr w:type="gramStart"/>
      <w:r w:rsidR="006A3B48">
        <w:rPr>
          <w:bCs/>
          <w:iCs/>
        </w:rPr>
        <w:t xml:space="preserve">in order </w:t>
      </w:r>
      <w:r w:rsidR="00273F07">
        <w:rPr>
          <w:bCs/>
          <w:iCs/>
        </w:rPr>
        <w:t>to</w:t>
      </w:r>
      <w:proofErr w:type="gramEnd"/>
      <w:r w:rsidR="00273F07">
        <w:rPr>
          <w:bCs/>
          <w:iCs/>
        </w:rPr>
        <w:t xml:space="preserve"> </w:t>
      </w:r>
      <w:r w:rsidR="0055166F">
        <w:rPr>
          <w:bCs/>
          <w:iCs/>
        </w:rPr>
        <w:t>manage water volumes</w:t>
      </w:r>
      <w:r w:rsidR="00273F07">
        <w:rPr>
          <w:bCs/>
          <w:iCs/>
        </w:rPr>
        <w:t>.</w:t>
      </w:r>
      <w:r w:rsidR="00A73402">
        <w:rPr>
          <w:bCs/>
          <w:iCs/>
        </w:rPr>
        <w:t xml:space="preserve"> </w:t>
      </w:r>
      <w:r w:rsidR="00E33E78">
        <w:rPr>
          <w:bCs/>
          <w:iCs/>
        </w:rPr>
        <w:t xml:space="preserve">With a final rule expected in 2024, the Company anticipates updating the compliance strategy </w:t>
      </w:r>
      <w:r w:rsidR="00986C8C">
        <w:rPr>
          <w:bCs/>
          <w:iCs/>
        </w:rPr>
        <w:t>after</w:t>
      </w:r>
      <w:r w:rsidR="00E33E78">
        <w:rPr>
          <w:bCs/>
          <w:iCs/>
        </w:rPr>
        <w:t xml:space="preserve"> </w:t>
      </w:r>
      <w:r w:rsidR="008D2533">
        <w:rPr>
          <w:bCs/>
          <w:iCs/>
        </w:rPr>
        <w:t>analy</w:t>
      </w:r>
      <w:r w:rsidR="00A352EE">
        <w:rPr>
          <w:bCs/>
          <w:iCs/>
        </w:rPr>
        <w:t>zing</w:t>
      </w:r>
      <w:r w:rsidR="008D2533">
        <w:rPr>
          <w:bCs/>
          <w:iCs/>
        </w:rPr>
        <w:t xml:space="preserve"> </w:t>
      </w:r>
      <w:r w:rsidR="00E33E78">
        <w:rPr>
          <w:bCs/>
          <w:iCs/>
        </w:rPr>
        <w:t>the final compliance options</w:t>
      </w:r>
      <w:r w:rsidR="00FF29DB">
        <w:rPr>
          <w:bCs/>
          <w:iCs/>
        </w:rPr>
        <w:t xml:space="preserve"> for </w:t>
      </w:r>
      <w:r w:rsidR="00E9337F">
        <w:rPr>
          <w:bCs/>
          <w:iCs/>
        </w:rPr>
        <w:t xml:space="preserve">all </w:t>
      </w:r>
      <w:r w:rsidR="004E5B3A">
        <w:rPr>
          <w:bCs/>
          <w:iCs/>
        </w:rPr>
        <w:t xml:space="preserve">affected </w:t>
      </w:r>
      <w:r w:rsidR="00E9337F">
        <w:rPr>
          <w:bCs/>
          <w:iCs/>
        </w:rPr>
        <w:t>wastewater streams</w:t>
      </w:r>
      <w:r w:rsidR="00DE35D0">
        <w:rPr>
          <w:bCs/>
          <w:iCs/>
        </w:rPr>
        <w:t xml:space="preserve">, including </w:t>
      </w:r>
      <w:r w:rsidR="00FF29DB">
        <w:rPr>
          <w:bCs/>
          <w:iCs/>
        </w:rPr>
        <w:t>scrubber wastewater</w:t>
      </w:r>
      <w:r w:rsidR="00FA0715">
        <w:rPr>
          <w:bCs/>
          <w:iCs/>
        </w:rPr>
        <w:t xml:space="preserve">, </w:t>
      </w:r>
      <w:r w:rsidR="005960B0">
        <w:rPr>
          <w:bCs/>
          <w:iCs/>
        </w:rPr>
        <w:t xml:space="preserve">combustion residual </w:t>
      </w:r>
      <w:r w:rsidR="00A85123">
        <w:rPr>
          <w:bCs/>
          <w:iCs/>
        </w:rPr>
        <w:t>leachate</w:t>
      </w:r>
      <w:r w:rsidR="00DE35D0">
        <w:rPr>
          <w:bCs/>
          <w:iCs/>
        </w:rPr>
        <w:t>,</w:t>
      </w:r>
      <w:r w:rsidR="005960B0">
        <w:rPr>
          <w:bCs/>
          <w:iCs/>
        </w:rPr>
        <w:t xml:space="preserve"> and legacy wastewater</w:t>
      </w:r>
      <w:r w:rsidR="00E33E78">
        <w:rPr>
          <w:bCs/>
          <w:iCs/>
        </w:rPr>
        <w:t>.</w:t>
      </w:r>
    </w:p>
    <w:p w14:paraId="0EE628B8" w14:textId="3A9384EC" w:rsidR="001B23EF" w:rsidRDefault="00180619" w:rsidP="00A82E72">
      <w:pPr>
        <w:numPr>
          <w:ilvl w:val="0"/>
          <w:numId w:val="1"/>
        </w:numPr>
        <w:spacing w:before="120" w:after="0" w:line="240" w:lineRule="auto"/>
        <w:ind w:left="360"/>
        <w:rPr>
          <w:b/>
          <w:i/>
        </w:rPr>
      </w:pPr>
      <w:r>
        <w:rPr>
          <w:b/>
          <w:i/>
        </w:rPr>
        <w:t xml:space="preserve">Implementation of the </w:t>
      </w:r>
      <w:r w:rsidR="007734C9">
        <w:rPr>
          <w:b/>
          <w:i/>
        </w:rPr>
        <w:t xml:space="preserve">CCR </w:t>
      </w:r>
      <w:r>
        <w:rPr>
          <w:b/>
          <w:i/>
        </w:rPr>
        <w:t xml:space="preserve">compliance program </w:t>
      </w:r>
      <w:r w:rsidR="004C12C0">
        <w:rPr>
          <w:b/>
          <w:i/>
        </w:rPr>
        <w:t xml:space="preserve">is progressing </w:t>
      </w:r>
      <w:r w:rsidR="008B1500">
        <w:rPr>
          <w:b/>
          <w:i/>
        </w:rPr>
        <w:t>under the oversight of the Georgia EPD</w:t>
      </w:r>
      <w:r w:rsidR="004C12C0">
        <w:rPr>
          <w:b/>
          <w:i/>
        </w:rPr>
        <w:t xml:space="preserve">, while the Company continues to monitor </w:t>
      </w:r>
      <w:r w:rsidR="00812497">
        <w:rPr>
          <w:b/>
          <w:i/>
        </w:rPr>
        <w:t xml:space="preserve">federal </w:t>
      </w:r>
      <w:r w:rsidR="003D6A0C">
        <w:rPr>
          <w:b/>
          <w:i/>
        </w:rPr>
        <w:t xml:space="preserve">CCR </w:t>
      </w:r>
      <w:r w:rsidR="00812497">
        <w:rPr>
          <w:b/>
          <w:i/>
        </w:rPr>
        <w:t xml:space="preserve">rule </w:t>
      </w:r>
      <w:r w:rsidR="004C12C0">
        <w:rPr>
          <w:b/>
          <w:i/>
        </w:rPr>
        <w:t>developments</w:t>
      </w:r>
      <w:r w:rsidR="009C5CDD">
        <w:rPr>
          <w:b/>
          <w:i/>
        </w:rPr>
        <w:t>.</w:t>
      </w:r>
      <w:r w:rsidR="004C12C0">
        <w:rPr>
          <w:b/>
          <w:i/>
        </w:rPr>
        <w:t xml:space="preserve"> </w:t>
      </w:r>
    </w:p>
    <w:p w14:paraId="4851B5FC" w14:textId="78562E56" w:rsidR="00B85A83" w:rsidRDefault="00A65941" w:rsidP="00A82E72">
      <w:pPr>
        <w:spacing w:before="120" w:after="0"/>
      </w:pPr>
      <w:r w:rsidRPr="0032230F">
        <w:rPr>
          <w:bCs/>
          <w:iCs/>
        </w:rPr>
        <w:t xml:space="preserve">The Company continues to make progress on </w:t>
      </w:r>
      <w:r w:rsidR="006705E0">
        <w:rPr>
          <w:bCs/>
          <w:iCs/>
        </w:rPr>
        <w:t xml:space="preserve">closure of </w:t>
      </w:r>
      <w:r w:rsidR="00CE4FF8">
        <w:rPr>
          <w:bCs/>
          <w:iCs/>
        </w:rPr>
        <w:t xml:space="preserve">29 </w:t>
      </w:r>
      <w:r w:rsidRPr="0032230F">
        <w:rPr>
          <w:bCs/>
          <w:iCs/>
        </w:rPr>
        <w:t>ash pond</w:t>
      </w:r>
      <w:r w:rsidR="006705E0">
        <w:rPr>
          <w:bCs/>
          <w:iCs/>
        </w:rPr>
        <w:t>s</w:t>
      </w:r>
      <w:r w:rsidR="00044DC5">
        <w:rPr>
          <w:bCs/>
          <w:iCs/>
        </w:rPr>
        <w:t>,</w:t>
      </w:r>
      <w:r w:rsidR="00967A97" w:rsidRPr="0032230F">
        <w:rPr>
          <w:bCs/>
          <w:iCs/>
        </w:rPr>
        <w:t xml:space="preserve"> </w:t>
      </w:r>
      <w:r w:rsidR="005D2943">
        <w:rPr>
          <w:bCs/>
          <w:iCs/>
        </w:rPr>
        <w:t>as required by both state and federal CCR rules</w:t>
      </w:r>
      <w:r w:rsidR="00C248E4">
        <w:rPr>
          <w:bCs/>
          <w:iCs/>
        </w:rPr>
        <w:t xml:space="preserve">. Through the EPA-approved state CCR permitting program, </w:t>
      </w:r>
      <w:r w:rsidR="0032312D" w:rsidRPr="0032230F">
        <w:rPr>
          <w:bCs/>
          <w:iCs/>
        </w:rPr>
        <w:t xml:space="preserve">Georgia EPD continues to </w:t>
      </w:r>
      <w:r w:rsidR="0032312D" w:rsidRPr="0032230F">
        <w:rPr>
          <w:bCs/>
          <w:iCs/>
        </w:rPr>
        <w:lastRenderedPageBreak/>
        <w:t xml:space="preserve">administer </w:t>
      </w:r>
      <w:r w:rsidR="00C248E4">
        <w:rPr>
          <w:bCs/>
          <w:iCs/>
        </w:rPr>
        <w:t xml:space="preserve">and enforce the requirements </w:t>
      </w:r>
      <w:r w:rsidR="0032312D" w:rsidRPr="0032230F">
        <w:rPr>
          <w:bCs/>
          <w:iCs/>
        </w:rPr>
        <w:t>by issuing CCR permits</w:t>
      </w:r>
      <w:r w:rsidR="002614C2">
        <w:rPr>
          <w:bCs/>
          <w:iCs/>
        </w:rPr>
        <w:t>,</w:t>
      </w:r>
      <w:r w:rsidR="0032312D" w:rsidRPr="0032230F">
        <w:rPr>
          <w:bCs/>
          <w:iCs/>
        </w:rPr>
        <w:t xml:space="preserve"> performing site inspections</w:t>
      </w:r>
      <w:r w:rsidR="002614C2">
        <w:rPr>
          <w:bCs/>
          <w:iCs/>
        </w:rPr>
        <w:t xml:space="preserve">, and </w:t>
      </w:r>
      <w:r w:rsidR="00C9616D">
        <w:rPr>
          <w:bCs/>
          <w:iCs/>
        </w:rPr>
        <w:t xml:space="preserve">requiring </w:t>
      </w:r>
      <w:r w:rsidR="003E781C">
        <w:rPr>
          <w:bCs/>
          <w:iCs/>
        </w:rPr>
        <w:t xml:space="preserve">groundwater monitoring and corrective action </w:t>
      </w:r>
      <w:r w:rsidR="00C9616D">
        <w:rPr>
          <w:bCs/>
          <w:iCs/>
        </w:rPr>
        <w:t xml:space="preserve">as applicable </w:t>
      </w:r>
      <w:r w:rsidR="00B568B7">
        <w:rPr>
          <w:bCs/>
          <w:iCs/>
        </w:rPr>
        <w:t>at all CCR units across the state</w:t>
      </w:r>
      <w:r w:rsidR="0032230F" w:rsidRPr="0032230F">
        <w:rPr>
          <w:bCs/>
          <w:iCs/>
        </w:rPr>
        <w:t xml:space="preserve">. </w:t>
      </w:r>
      <w:r w:rsidR="00D70DA9" w:rsidRPr="0032230F">
        <w:rPr>
          <w:bCs/>
          <w:iCs/>
        </w:rPr>
        <w:t xml:space="preserve">Since the March 2023 </w:t>
      </w:r>
      <w:r w:rsidR="00AF495D" w:rsidRPr="0032230F">
        <w:rPr>
          <w:bCs/>
          <w:iCs/>
        </w:rPr>
        <w:t>ECS</w:t>
      </w:r>
      <w:r w:rsidR="00D70DA9" w:rsidRPr="0032230F">
        <w:rPr>
          <w:bCs/>
          <w:iCs/>
        </w:rPr>
        <w:t xml:space="preserve">, </w:t>
      </w:r>
      <w:r w:rsidR="002941B3">
        <w:rPr>
          <w:bCs/>
          <w:iCs/>
        </w:rPr>
        <w:t xml:space="preserve">EPD issued </w:t>
      </w:r>
      <w:r w:rsidR="00246B68">
        <w:rPr>
          <w:bCs/>
          <w:iCs/>
        </w:rPr>
        <w:t>four final</w:t>
      </w:r>
      <w:r w:rsidR="002941B3">
        <w:rPr>
          <w:bCs/>
          <w:iCs/>
        </w:rPr>
        <w:t xml:space="preserve"> permits, including the final permit for Hammond AP-3</w:t>
      </w:r>
      <w:r w:rsidR="00680118">
        <w:rPr>
          <w:bCs/>
          <w:iCs/>
        </w:rPr>
        <w:t xml:space="preserve">, bringing the total number of final permits to </w:t>
      </w:r>
      <w:r w:rsidR="00B83A90">
        <w:rPr>
          <w:bCs/>
          <w:iCs/>
        </w:rPr>
        <w:t>17</w:t>
      </w:r>
      <w:r w:rsidR="00680118">
        <w:rPr>
          <w:bCs/>
          <w:iCs/>
        </w:rPr>
        <w:t xml:space="preserve"> and number of final closure</w:t>
      </w:r>
      <w:r w:rsidR="004A59B6">
        <w:rPr>
          <w:bCs/>
          <w:iCs/>
        </w:rPr>
        <w:t>-</w:t>
      </w:r>
      <w:r w:rsidR="00680118">
        <w:rPr>
          <w:bCs/>
          <w:iCs/>
        </w:rPr>
        <w:t>in</w:t>
      </w:r>
      <w:r w:rsidR="004A59B6">
        <w:rPr>
          <w:bCs/>
          <w:iCs/>
        </w:rPr>
        <w:t>-</w:t>
      </w:r>
      <w:r w:rsidR="00680118">
        <w:rPr>
          <w:bCs/>
          <w:iCs/>
        </w:rPr>
        <w:t>place permits to two</w:t>
      </w:r>
      <w:r w:rsidR="002941B3">
        <w:rPr>
          <w:bCs/>
          <w:iCs/>
        </w:rPr>
        <w:t>.</w:t>
      </w:r>
      <w:r w:rsidR="00B85A83">
        <w:rPr>
          <w:bCs/>
          <w:iCs/>
        </w:rPr>
        <w:t xml:space="preserve"> </w:t>
      </w:r>
      <w:r w:rsidR="002E6837">
        <w:rPr>
          <w:iCs/>
        </w:rPr>
        <w:t xml:space="preserve">At Hammond </w:t>
      </w:r>
      <w:r w:rsidR="00235C8A">
        <w:rPr>
          <w:iCs/>
        </w:rPr>
        <w:t xml:space="preserve">AP-3 </w:t>
      </w:r>
      <w:r w:rsidR="002E6837">
        <w:rPr>
          <w:iCs/>
        </w:rPr>
        <w:t xml:space="preserve">and all closure in place ash ponds across the state, the Company is utilizing proven engineering methods and technologies as part of customized, site-specific closure processes. </w:t>
      </w:r>
      <w:r w:rsidR="00235C8A" w:rsidRPr="00B85A83">
        <w:rPr>
          <w:bCs/>
          <w:iCs/>
        </w:rPr>
        <w:t xml:space="preserve">The issuance of the final permit at Hammond AP-3 demonstrates EPD’s concurrence that the </w:t>
      </w:r>
      <w:r w:rsidR="00235C8A">
        <w:rPr>
          <w:bCs/>
          <w:iCs/>
        </w:rPr>
        <w:t>unit’s</w:t>
      </w:r>
      <w:r w:rsidR="00235C8A" w:rsidRPr="00B85A83">
        <w:rPr>
          <w:bCs/>
          <w:iCs/>
        </w:rPr>
        <w:t xml:space="preserve"> closure plans meet the performance standards </w:t>
      </w:r>
      <w:r w:rsidR="00235C8A">
        <w:rPr>
          <w:bCs/>
          <w:iCs/>
        </w:rPr>
        <w:t xml:space="preserve">required by both the state and federal CCR Rule </w:t>
      </w:r>
      <w:r w:rsidR="00235C8A" w:rsidRPr="00B85A83">
        <w:rPr>
          <w:bCs/>
          <w:iCs/>
        </w:rPr>
        <w:t>and are protective of the environment and the communities we serve.</w:t>
      </w:r>
      <w:r w:rsidR="00235C8A">
        <w:rPr>
          <w:bCs/>
          <w:iCs/>
        </w:rPr>
        <w:t xml:space="preserve"> </w:t>
      </w:r>
      <w:r w:rsidR="00245FE5">
        <w:t>T</w:t>
      </w:r>
      <w:r w:rsidR="00245FE5" w:rsidRPr="003D640E">
        <w:t xml:space="preserve">he Company </w:t>
      </w:r>
      <w:r w:rsidR="00245FE5">
        <w:t xml:space="preserve">remains committed to working with Georgia EPD on the </w:t>
      </w:r>
      <w:r w:rsidR="00245FE5" w:rsidDel="007E1E19">
        <w:rPr>
          <w:iCs/>
        </w:rPr>
        <w:t xml:space="preserve">issuance of </w:t>
      </w:r>
      <w:r w:rsidR="00245FE5">
        <w:t>the remaining CCR</w:t>
      </w:r>
      <w:r w:rsidR="00245FE5" w:rsidDel="007E1E19">
        <w:rPr>
          <w:iCs/>
        </w:rPr>
        <w:t xml:space="preserve"> permits </w:t>
      </w:r>
      <w:r w:rsidR="00245FE5">
        <w:t xml:space="preserve">while EPD and </w:t>
      </w:r>
      <w:r w:rsidR="00436344">
        <w:t xml:space="preserve">EPA </w:t>
      </w:r>
      <w:r w:rsidR="00245FE5">
        <w:t>continue to discuss existing and future permits</w:t>
      </w:r>
      <w:r w:rsidR="00245FE5" w:rsidRPr="003D640E">
        <w:t>.</w:t>
      </w:r>
    </w:p>
    <w:p w14:paraId="55D0F9FE" w14:textId="2F84F649" w:rsidR="00CE4FF8" w:rsidRDefault="0092508D" w:rsidP="00A82E72">
      <w:pPr>
        <w:spacing w:before="120" w:after="0"/>
        <w:rPr>
          <w:bCs/>
          <w:iCs/>
        </w:rPr>
      </w:pPr>
      <w:r>
        <w:rPr>
          <w:bCs/>
          <w:iCs/>
        </w:rPr>
        <w:t xml:space="preserve">Meanwhile, </w:t>
      </w:r>
      <w:r w:rsidR="008B3969">
        <w:rPr>
          <w:bCs/>
          <w:iCs/>
        </w:rPr>
        <w:t xml:space="preserve">considerable </w:t>
      </w:r>
      <w:r>
        <w:rPr>
          <w:bCs/>
          <w:iCs/>
        </w:rPr>
        <w:t xml:space="preserve">regulatory uncertainty around the federal CCR program </w:t>
      </w:r>
      <w:r w:rsidR="008B3969">
        <w:rPr>
          <w:bCs/>
          <w:iCs/>
        </w:rPr>
        <w:t>remains</w:t>
      </w:r>
      <w:r>
        <w:rPr>
          <w:bCs/>
          <w:iCs/>
        </w:rPr>
        <w:t xml:space="preserve">, </w:t>
      </w:r>
      <w:r w:rsidR="003C1B6F">
        <w:rPr>
          <w:bCs/>
          <w:iCs/>
        </w:rPr>
        <w:t xml:space="preserve">and the Company is monitoring </w:t>
      </w:r>
      <w:r>
        <w:rPr>
          <w:bCs/>
          <w:iCs/>
        </w:rPr>
        <w:t>activity</w:t>
      </w:r>
      <w:r w:rsidR="00AF41CB">
        <w:rPr>
          <w:bCs/>
          <w:iCs/>
        </w:rPr>
        <w:t xml:space="preserve"> </w:t>
      </w:r>
      <w:r>
        <w:rPr>
          <w:bCs/>
          <w:iCs/>
        </w:rPr>
        <w:t xml:space="preserve">occurring in rulemaking, </w:t>
      </w:r>
      <w:r w:rsidR="003C1B6F">
        <w:rPr>
          <w:bCs/>
          <w:iCs/>
        </w:rPr>
        <w:t>litigation</w:t>
      </w:r>
      <w:r w:rsidR="00FA7FD1">
        <w:rPr>
          <w:bCs/>
          <w:iCs/>
        </w:rPr>
        <w:t>, and other EPA actions</w:t>
      </w:r>
      <w:r w:rsidR="003C1B6F">
        <w:rPr>
          <w:bCs/>
          <w:iCs/>
        </w:rPr>
        <w:t xml:space="preserve">. </w:t>
      </w:r>
      <w:r w:rsidR="0047150F">
        <w:rPr>
          <w:bCs/>
          <w:iCs/>
        </w:rPr>
        <w:t>In</w:t>
      </w:r>
      <w:r w:rsidR="009374D7">
        <w:rPr>
          <w:bCs/>
          <w:iCs/>
        </w:rPr>
        <w:t xml:space="preserve"> </w:t>
      </w:r>
      <w:r w:rsidR="00547FF7">
        <w:rPr>
          <w:bCs/>
          <w:iCs/>
        </w:rPr>
        <w:t>2023</w:t>
      </w:r>
      <w:r w:rsidR="0047150F">
        <w:rPr>
          <w:bCs/>
          <w:iCs/>
        </w:rPr>
        <w:t xml:space="preserve">, </w:t>
      </w:r>
      <w:r w:rsidR="00915220">
        <w:rPr>
          <w:bCs/>
          <w:iCs/>
        </w:rPr>
        <w:t xml:space="preserve">EPA proposed </w:t>
      </w:r>
      <w:r w:rsidR="000514A3">
        <w:rPr>
          <w:bCs/>
          <w:iCs/>
        </w:rPr>
        <w:t xml:space="preserve">the </w:t>
      </w:r>
      <w:r w:rsidR="00915220">
        <w:rPr>
          <w:bCs/>
          <w:iCs/>
        </w:rPr>
        <w:t>Legacy Surface Impoundments rule</w:t>
      </w:r>
      <w:r w:rsidR="000514A3">
        <w:rPr>
          <w:bCs/>
          <w:iCs/>
        </w:rPr>
        <w:t>, which</w:t>
      </w:r>
      <w:r w:rsidR="00915220">
        <w:rPr>
          <w:bCs/>
          <w:iCs/>
        </w:rPr>
        <w:t xml:space="preserve"> would extend the federal CCR requirements to </w:t>
      </w:r>
      <w:r w:rsidR="007A5BE7" w:rsidRPr="00E6714B">
        <w:rPr>
          <w:bCs/>
          <w:iCs/>
        </w:rPr>
        <w:t>areas</w:t>
      </w:r>
      <w:r w:rsidR="00915220" w:rsidRPr="00E6714B">
        <w:rPr>
          <w:bCs/>
          <w:iCs/>
        </w:rPr>
        <w:t xml:space="preserve"> </w:t>
      </w:r>
      <w:r w:rsidR="00CF5D0E" w:rsidRPr="00E6714B">
        <w:rPr>
          <w:bCs/>
          <w:iCs/>
        </w:rPr>
        <w:t>not</w:t>
      </w:r>
      <w:r w:rsidR="00CF5D0E">
        <w:rPr>
          <w:bCs/>
          <w:iCs/>
        </w:rPr>
        <w:t xml:space="preserve"> </w:t>
      </w:r>
      <w:r w:rsidR="00915220">
        <w:rPr>
          <w:bCs/>
          <w:iCs/>
        </w:rPr>
        <w:t xml:space="preserve">subject to the </w:t>
      </w:r>
      <w:r w:rsidR="00333F92">
        <w:rPr>
          <w:bCs/>
          <w:iCs/>
        </w:rPr>
        <w:t>current federal program</w:t>
      </w:r>
      <w:r w:rsidR="00915220">
        <w:rPr>
          <w:bCs/>
          <w:iCs/>
        </w:rPr>
        <w:t xml:space="preserve">. </w:t>
      </w:r>
      <w:r w:rsidR="009E28B8">
        <w:rPr>
          <w:bCs/>
          <w:iCs/>
        </w:rPr>
        <w:t xml:space="preserve">Under the existing state CCR Rule, </w:t>
      </w:r>
      <w:r w:rsidR="00A769BC">
        <w:rPr>
          <w:bCs/>
          <w:iCs/>
        </w:rPr>
        <w:t xml:space="preserve">Georgia </w:t>
      </w:r>
      <w:r w:rsidR="00915220">
        <w:rPr>
          <w:bCs/>
          <w:iCs/>
        </w:rPr>
        <w:t>EPD already regulate</w:t>
      </w:r>
      <w:r w:rsidR="00A769BC">
        <w:rPr>
          <w:bCs/>
          <w:iCs/>
        </w:rPr>
        <w:t>s</w:t>
      </w:r>
      <w:r w:rsidR="00915220">
        <w:rPr>
          <w:bCs/>
          <w:iCs/>
        </w:rPr>
        <w:t xml:space="preserve"> </w:t>
      </w:r>
      <w:r w:rsidR="009E28B8">
        <w:rPr>
          <w:bCs/>
          <w:iCs/>
        </w:rPr>
        <w:t xml:space="preserve">legacy </w:t>
      </w:r>
      <w:r w:rsidR="003B5A24">
        <w:rPr>
          <w:bCs/>
          <w:iCs/>
        </w:rPr>
        <w:t xml:space="preserve">CCR </w:t>
      </w:r>
      <w:r w:rsidR="00627CB6">
        <w:rPr>
          <w:bCs/>
          <w:iCs/>
        </w:rPr>
        <w:t>units</w:t>
      </w:r>
      <w:r w:rsidR="00456339">
        <w:rPr>
          <w:bCs/>
          <w:iCs/>
        </w:rPr>
        <w:t xml:space="preserve"> </w:t>
      </w:r>
      <w:r w:rsidR="00B11E0A">
        <w:rPr>
          <w:bCs/>
          <w:iCs/>
        </w:rPr>
        <w:t>at former generating sites</w:t>
      </w:r>
      <w:r w:rsidR="00456339">
        <w:rPr>
          <w:bCs/>
          <w:iCs/>
        </w:rPr>
        <w:t xml:space="preserve">, </w:t>
      </w:r>
      <w:r w:rsidR="009E28B8">
        <w:rPr>
          <w:bCs/>
          <w:iCs/>
        </w:rPr>
        <w:t xml:space="preserve">but </w:t>
      </w:r>
      <w:r w:rsidR="00456339">
        <w:rPr>
          <w:bCs/>
          <w:iCs/>
        </w:rPr>
        <w:t xml:space="preserve">a finalization of EPA’s proposal could </w:t>
      </w:r>
      <w:r w:rsidR="005B2C5D" w:rsidRPr="00CE4FF8">
        <w:rPr>
          <w:bCs/>
          <w:iCs/>
        </w:rPr>
        <w:t>create duplicative regulation</w:t>
      </w:r>
      <w:r w:rsidR="00456339">
        <w:rPr>
          <w:bCs/>
          <w:iCs/>
        </w:rPr>
        <w:t xml:space="preserve"> </w:t>
      </w:r>
      <w:r w:rsidR="007C4DC5">
        <w:rPr>
          <w:bCs/>
          <w:iCs/>
        </w:rPr>
        <w:t>for those units</w:t>
      </w:r>
      <w:r w:rsidR="00B14B0F">
        <w:rPr>
          <w:bCs/>
          <w:iCs/>
        </w:rPr>
        <w:t>.</w:t>
      </w:r>
      <w:r w:rsidR="00456339" w:rsidDel="00B14B0F">
        <w:rPr>
          <w:bCs/>
          <w:iCs/>
        </w:rPr>
        <w:t xml:space="preserve"> </w:t>
      </w:r>
      <w:r w:rsidR="00B14B0F">
        <w:rPr>
          <w:bCs/>
          <w:iCs/>
        </w:rPr>
        <w:t xml:space="preserve">Further, the proposal would </w:t>
      </w:r>
      <w:r w:rsidR="00456339">
        <w:rPr>
          <w:bCs/>
          <w:iCs/>
        </w:rPr>
        <w:t xml:space="preserve">subject </w:t>
      </w:r>
      <w:r w:rsidR="00FC5422">
        <w:rPr>
          <w:bCs/>
          <w:iCs/>
        </w:rPr>
        <w:t>facilities</w:t>
      </w:r>
      <w:r w:rsidR="00456339">
        <w:rPr>
          <w:bCs/>
          <w:iCs/>
        </w:rPr>
        <w:t xml:space="preserve"> to a high administrative burden to perform detailed assessments </w:t>
      </w:r>
      <w:r w:rsidR="0077395B">
        <w:rPr>
          <w:bCs/>
          <w:iCs/>
        </w:rPr>
        <w:t xml:space="preserve">at </w:t>
      </w:r>
      <w:r w:rsidR="00456339">
        <w:rPr>
          <w:bCs/>
          <w:iCs/>
        </w:rPr>
        <w:t>each site</w:t>
      </w:r>
      <w:r w:rsidR="00C73220">
        <w:rPr>
          <w:bCs/>
          <w:iCs/>
        </w:rPr>
        <w:t xml:space="preserve"> to </w:t>
      </w:r>
      <w:r w:rsidR="00334583">
        <w:rPr>
          <w:bCs/>
          <w:iCs/>
        </w:rPr>
        <w:t xml:space="preserve">identify </w:t>
      </w:r>
      <w:r w:rsidR="009F6890">
        <w:rPr>
          <w:bCs/>
          <w:iCs/>
        </w:rPr>
        <w:t xml:space="preserve">a new classification of </w:t>
      </w:r>
      <w:r w:rsidR="00334583">
        <w:rPr>
          <w:bCs/>
          <w:iCs/>
        </w:rPr>
        <w:t>units</w:t>
      </w:r>
      <w:r w:rsidR="000155EA">
        <w:t>,</w:t>
      </w:r>
      <w:r w:rsidR="00AC1396" w:rsidRPr="0006141B">
        <w:t xml:space="preserve"> referred to as CCR management </w:t>
      </w:r>
      <w:r w:rsidR="00C02168">
        <w:rPr>
          <w:bCs/>
          <w:iCs/>
        </w:rPr>
        <w:t>units</w:t>
      </w:r>
      <w:r w:rsidR="00B14B0F">
        <w:rPr>
          <w:bCs/>
          <w:iCs/>
        </w:rPr>
        <w:t xml:space="preserve">, </w:t>
      </w:r>
      <w:r w:rsidR="001C4137">
        <w:rPr>
          <w:bCs/>
          <w:iCs/>
        </w:rPr>
        <w:t xml:space="preserve">within a </w:t>
      </w:r>
      <w:r w:rsidR="009F6890">
        <w:rPr>
          <w:bCs/>
          <w:iCs/>
        </w:rPr>
        <w:t xml:space="preserve">very </w:t>
      </w:r>
      <w:r w:rsidR="001C4137">
        <w:rPr>
          <w:bCs/>
          <w:iCs/>
        </w:rPr>
        <w:t>short timeframe</w:t>
      </w:r>
      <w:r w:rsidR="00456339">
        <w:rPr>
          <w:bCs/>
          <w:iCs/>
        </w:rPr>
        <w:t>.</w:t>
      </w:r>
      <w:r w:rsidR="00F76104">
        <w:rPr>
          <w:bCs/>
          <w:iCs/>
        </w:rPr>
        <w:t xml:space="preserve"> </w:t>
      </w:r>
      <w:r w:rsidR="00477472">
        <w:rPr>
          <w:bCs/>
          <w:iCs/>
        </w:rPr>
        <w:t xml:space="preserve">EPA </w:t>
      </w:r>
      <w:r w:rsidR="00F76104">
        <w:rPr>
          <w:bCs/>
          <w:iCs/>
        </w:rPr>
        <w:t xml:space="preserve">is expected to finalize the </w:t>
      </w:r>
      <w:r w:rsidR="000E6DA5">
        <w:rPr>
          <w:bCs/>
          <w:iCs/>
        </w:rPr>
        <w:t xml:space="preserve">Legacy Surface Impoundments rule </w:t>
      </w:r>
      <w:r w:rsidR="00F23EF0">
        <w:rPr>
          <w:bCs/>
          <w:iCs/>
        </w:rPr>
        <w:t xml:space="preserve">in </w:t>
      </w:r>
      <w:r w:rsidR="000E6DA5">
        <w:rPr>
          <w:bCs/>
          <w:iCs/>
        </w:rPr>
        <w:t>2024</w:t>
      </w:r>
      <w:r w:rsidR="00892655">
        <w:rPr>
          <w:bCs/>
          <w:iCs/>
        </w:rPr>
        <w:t>,</w:t>
      </w:r>
      <w:r w:rsidR="000E6DA5">
        <w:rPr>
          <w:bCs/>
          <w:iCs/>
        </w:rPr>
        <w:t xml:space="preserve"> </w:t>
      </w:r>
      <w:r w:rsidR="00F76104">
        <w:rPr>
          <w:bCs/>
          <w:iCs/>
        </w:rPr>
        <w:t xml:space="preserve">and </w:t>
      </w:r>
      <w:r w:rsidR="00F23EF0">
        <w:rPr>
          <w:bCs/>
          <w:iCs/>
        </w:rPr>
        <w:t xml:space="preserve">the </w:t>
      </w:r>
      <w:r w:rsidR="000E6DA5">
        <w:rPr>
          <w:bCs/>
          <w:iCs/>
        </w:rPr>
        <w:t xml:space="preserve">Company will assess </w:t>
      </w:r>
      <w:r w:rsidR="004C4EB0">
        <w:rPr>
          <w:bCs/>
          <w:iCs/>
        </w:rPr>
        <w:t>the final requirements</w:t>
      </w:r>
      <w:r w:rsidR="002941B3">
        <w:rPr>
          <w:bCs/>
          <w:iCs/>
        </w:rPr>
        <w:t xml:space="preserve"> </w:t>
      </w:r>
      <w:r w:rsidR="00E741C1">
        <w:rPr>
          <w:bCs/>
          <w:iCs/>
        </w:rPr>
        <w:t xml:space="preserve">and </w:t>
      </w:r>
      <w:r w:rsidR="002941B3">
        <w:rPr>
          <w:bCs/>
          <w:iCs/>
        </w:rPr>
        <w:t xml:space="preserve">any other federal </w:t>
      </w:r>
      <w:r w:rsidR="000826D7">
        <w:rPr>
          <w:bCs/>
          <w:iCs/>
        </w:rPr>
        <w:t xml:space="preserve">CCR </w:t>
      </w:r>
      <w:r w:rsidR="002941B3">
        <w:rPr>
          <w:bCs/>
          <w:iCs/>
        </w:rPr>
        <w:t>program developments</w:t>
      </w:r>
      <w:r w:rsidR="00F76104">
        <w:rPr>
          <w:bCs/>
          <w:iCs/>
        </w:rPr>
        <w:t xml:space="preserve"> at that time</w:t>
      </w:r>
      <w:r w:rsidR="002941B3">
        <w:rPr>
          <w:bCs/>
          <w:iCs/>
        </w:rPr>
        <w:t>.</w:t>
      </w:r>
    </w:p>
    <w:p w14:paraId="4D6C50A5" w14:textId="2A564553" w:rsidR="00287ADF" w:rsidRPr="000A0D74" w:rsidRDefault="00B0138A" w:rsidP="00A82E72">
      <w:pPr>
        <w:numPr>
          <w:ilvl w:val="0"/>
          <w:numId w:val="1"/>
        </w:numPr>
        <w:spacing w:before="120" w:after="0" w:line="240" w:lineRule="auto"/>
        <w:ind w:left="360"/>
      </w:pPr>
      <w:r>
        <w:rPr>
          <w:b/>
          <w:i/>
        </w:rPr>
        <w:t>While awaiting final rules, t</w:t>
      </w:r>
      <w:r w:rsidR="00287ADF">
        <w:rPr>
          <w:b/>
          <w:i/>
        </w:rPr>
        <w:t>he Company</w:t>
      </w:r>
      <w:r w:rsidR="008C2B2F">
        <w:rPr>
          <w:b/>
          <w:i/>
        </w:rPr>
        <w:t>’s</w:t>
      </w:r>
      <w:r w:rsidR="00FF21FC">
        <w:rPr>
          <w:b/>
          <w:i/>
        </w:rPr>
        <w:t xml:space="preserve"> </w:t>
      </w:r>
      <w:r w:rsidR="00287ADF">
        <w:rPr>
          <w:b/>
          <w:i/>
        </w:rPr>
        <w:t xml:space="preserve">compliance strategy </w:t>
      </w:r>
      <w:r w:rsidR="0012751E">
        <w:rPr>
          <w:b/>
          <w:i/>
        </w:rPr>
        <w:t>in the 202</w:t>
      </w:r>
      <w:r w:rsidR="00BA5C8C">
        <w:rPr>
          <w:b/>
          <w:i/>
        </w:rPr>
        <w:t>4</w:t>
      </w:r>
      <w:r w:rsidR="0012751E">
        <w:rPr>
          <w:b/>
          <w:i/>
        </w:rPr>
        <w:t xml:space="preserve"> ECS remains consistent with the approved </w:t>
      </w:r>
      <w:r w:rsidR="007725ED">
        <w:rPr>
          <w:b/>
          <w:i/>
        </w:rPr>
        <w:t>2022 Integrated Resource Plan (“IRP”) and ECS</w:t>
      </w:r>
      <w:r w:rsidR="009C5CDD">
        <w:rPr>
          <w:b/>
          <w:i/>
        </w:rPr>
        <w:t>.</w:t>
      </w:r>
      <w:r w:rsidR="007725ED">
        <w:rPr>
          <w:b/>
          <w:i/>
        </w:rPr>
        <w:t xml:space="preserve"> </w:t>
      </w:r>
    </w:p>
    <w:p w14:paraId="328D879D" w14:textId="2A87FD02" w:rsidR="008273C5" w:rsidRDefault="005C7D68" w:rsidP="00A82E72">
      <w:pPr>
        <w:spacing w:before="120" w:after="0" w:line="240" w:lineRule="auto"/>
        <w:rPr>
          <w:bCs/>
          <w:iCs/>
        </w:rPr>
      </w:pPr>
      <w:r>
        <w:t xml:space="preserve">Considering </w:t>
      </w:r>
      <w:r w:rsidR="00B02A03">
        <w:t xml:space="preserve">the </w:t>
      </w:r>
      <w:r w:rsidR="00DD20E7">
        <w:t xml:space="preserve">final rules </w:t>
      </w:r>
      <w:r w:rsidR="00B02A03">
        <w:t xml:space="preserve">that are expected </w:t>
      </w:r>
      <w:r w:rsidR="00DD20E7">
        <w:t xml:space="preserve">in 2024 </w:t>
      </w:r>
      <w:r w:rsidR="00C62302">
        <w:t xml:space="preserve">and the </w:t>
      </w:r>
      <w:r w:rsidR="00587326">
        <w:t xml:space="preserve">uncertainty around the </w:t>
      </w:r>
      <w:r w:rsidR="00C62302">
        <w:t>range of possible outcomes</w:t>
      </w:r>
      <w:r>
        <w:t xml:space="preserve">, </w:t>
      </w:r>
      <w:r w:rsidR="00A82932">
        <w:t xml:space="preserve">no </w:t>
      </w:r>
      <w:r w:rsidR="0050284D">
        <w:t xml:space="preserve">substantive </w:t>
      </w:r>
      <w:r w:rsidR="00A82932">
        <w:t xml:space="preserve">changes are </w:t>
      </w:r>
      <w:r w:rsidR="001A1138">
        <w:t xml:space="preserve">included </w:t>
      </w:r>
      <w:r w:rsidR="00A82932">
        <w:t xml:space="preserve">at this time </w:t>
      </w:r>
      <w:r w:rsidR="001A1138">
        <w:t xml:space="preserve">in </w:t>
      </w:r>
      <w:r w:rsidR="00153467">
        <w:t>t</w:t>
      </w:r>
      <w:r w:rsidR="00153467">
        <w:rPr>
          <w:bCs/>
          <w:iCs/>
        </w:rPr>
        <w:t xml:space="preserve">he </w:t>
      </w:r>
      <w:r w:rsidR="00882198">
        <w:rPr>
          <w:bCs/>
          <w:iCs/>
        </w:rPr>
        <w:t xml:space="preserve">Company’s </w:t>
      </w:r>
      <w:r w:rsidR="0017246D">
        <w:rPr>
          <w:bCs/>
          <w:iCs/>
        </w:rPr>
        <w:t xml:space="preserve">2024 </w:t>
      </w:r>
      <w:r w:rsidR="00153467">
        <w:rPr>
          <w:bCs/>
          <w:iCs/>
        </w:rPr>
        <w:t xml:space="preserve">compliance strategy. </w:t>
      </w:r>
      <w:r w:rsidR="00882198">
        <w:rPr>
          <w:bCs/>
          <w:iCs/>
        </w:rPr>
        <w:t>T</w:t>
      </w:r>
      <w:r w:rsidR="00BA5C8C">
        <w:t xml:space="preserve">he Company anticipates </w:t>
      </w:r>
      <w:r w:rsidR="001A1138">
        <w:t>revisiting</w:t>
      </w:r>
      <w:r w:rsidR="00BA5C8C">
        <w:t xml:space="preserve"> the compliance strategy in the 2025 ECS </w:t>
      </w:r>
      <w:r w:rsidR="002F2B15">
        <w:t xml:space="preserve">and thereafter </w:t>
      </w:r>
      <w:r w:rsidR="00BA5C8C">
        <w:t xml:space="preserve">once </w:t>
      </w:r>
      <w:r w:rsidR="00882198">
        <w:t xml:space="preserve">new </w:t>
      </w:r>
      <w:r w:rsidR="00BA5C8C">
        <w:t>final requirements are known</w:t>
      </w:r>
      <w:r w:rsidR="009345E5">
        <w:t xml:space="preserve"> and the work to evaluate compliance solutions is complete</w:t>
      </w:r>
      <w:r w:rsidR="00BA5C8C">
        <w:t>.</w:t>
      </w:r>
      <w:r w:rsidR="00370AE4">
        <w:t xml:space="preserve"> </w:t>
      </w:r>
      <w:r w:rsidR="004220A8">
        <w:t>In t</w:t>
      </w:r>
      <w:r w:rsidRPr="00C16D31">
        <w:t xml:space="preserve">he </w:t>
      </w:r>
      <w:r w:rsidR="004220A8">
        <w:t xml:space="preserve">meantime, </w:t>
      </w:r>
      <w:r w:rsidR="00B02BAF">
        <w:t xml:space="preserve">the </w:t>
      </w:r>
      <w:r w:rsidRPr="00C16D31">
        <w:t xml:space="preserve">Company continues to plan and sequence work strategically </w:t>
      </w:r>
      <w:r w:rsidR="00C571D9">
        <w:t xml:space="preserve">in implementing ELG and CCR projects </w:t>
      </w:r>
      <w:r w:rsidRPr="00C16D31">
        <w:t>to ensure progress continues as required</w:t>
      </w:r>
      <w:r>
        <w:t xml:space="preserve"> by upcoming compliance deadlines</w:t>
      </w:r>
      <w:r w:rsidRPr="00C16D31">
        <w:t xml:space="preserve">, while also adjusting the schedule for certain activities </w:t>
      </w:r>
      <w:r w:rsidR="00C426E7" w:rsidRPr="00C426E7">
        <w:t>to account for uncertainty where possible</w:t>
      </w:r>
      <w:r w:rsidRPr="00C16D31">
        <w:t xml:space="preserve">. </w:t>
      </w:r>
    </w:p>
    <w:p w14:paraId="40ED070A" w14:textId="1A906F32" w:rsidR="0070332C" w:rsidRPr="00CC4DCB" w:rsidRDefault="002431E1" w:rsidP="00A82E72">
      <w:pPr>
        <w:spacing w:before="120" w:after="0" w:line="240" w:lineRule="auto"/>
        <w:rPr>
          <w:bCs/>
          <w:iCs/>
        </w:rPr>
      </w:pPr>
      <w:r>
        <w:t xml:space="preserve">Necessarily and as required by EPA, ELG work at Plant Bowen has progressed considerably with </w:t>
      </w:r>
      <w:r w:rsidR="00AF219E">
        <w:t>the December 2025</w:t>
      </w:r>
      <w:r>
        <w:t xml:space="preserve"> compliance deadline approaching</w:t>
      </w:r>
      <w:r w:rsidR="00960603">
        <w:t>. T</w:t>
      </w:r>
      <w:r>
        <w:t xml:space="preserve">he </w:t>
      </w:r>
      <w:r>
        <w:rPr>
          <w:bCs/>
          <w:iCs/>
        </w:rPr>
        <w:t xml:space="preserve">physical-chemical-biological </w:t>
      </w:r>
      <w:r>
        <w:t xml:space="preserve">scrubber wastewater </w:t>
      </w:r>
      <w:r w:rsidR="00DE5AD9">
        <w:t xml:space="preserve">treatment </w:t>
      </w:r>
      <w:r>
        <w:t xml:space="preserve">system </w:t>
      </w:r>
      <w:r w:rsidR="00792358">
        <w:t xml:space="preserve">is </w:t>
      </w:r>
      <w:r>
        <w:t xml:space="preserve">anticipated to be placed in service next year. </w:t>
      </w:r>
      <w:r w:rsidR="00287ADF">
        <w:rPr>
          <w:bCs/>
          <w:iCs/>
        </w:rPr>
        <w:t>Plant Scherer continues to pursue the Voluntary Incentives Program</w:t>
      </w:r>
      <w:r w:rsidR="00FE1F38">
        <w:rPr>
          <w:bCs/>
          <w:iCs/>
        </w:rPr>
        <w:t xml:space="preserve"> (“VIP”)</w:t>
      </w:r>
      <w:r w:rsidR="00287ADF">
        <w:rPr>
          <w:bCs/>
          <w:iCs/>
        </w:rPr>
        <w:t xml:space="preserve"> through installation of membrane scrubber wastewater treatment technology by </w:t>
      </w:r>
      <w:r w:rsidR="00B84613">
        <w:rPr>
          <w:bCs/>
          <w:iCs/>
        </w:rPr>
        <w:t xml:space="preserve">the end of </w:t>
      </w:r>
      <w:r w:rsidR="00287ADF">
        <w:rPr>
          <w:bCs/>
          <w:iCs/>
        </w:rPr>
        <w:t>2028.</w:t>
      </w:r>
      <w:r w:rsidR="00EB73CD">
        <w:rPr>
          <w:bCs/>
          <w:iCs/>
        </w:rPr>
        <w:t xml:space="preserve"> </w:t>
      </w:r>
      <w:r w:rsidR="009D496A">
        <w:rPr>
          <w:bCs/>
          <w:iCs/>
        </w:rPr>
        <w:t xml:space="preserve">Plant Scherer has also begun engineering and preparations related to </w:t>
      </w:r>
      <w:r w:rsidR="00B3183D">
        <w:rPr>
          <w:bCs/>
          <w:iCs/>
        </w:rPr>
        <w:t>the development of</w:t>
      </w:r>
      <w:r w:rsidR="009D496A">
        <w:rPr>
          <w:bCs/>
          <w:iCs/>
        </w:rPr>
        <w:t xml:space="preserve"> Cell 3 </w:t>
      </w:r>
      <w:r w:rsidR="00C17E17">
        <w:rPr>
          <w:bCs/>
          <w:iCs/>
        </w:rPr>
        <w:t xml:space="preserve">of the landfill </w:t>
      </w:r>
      <w:r w:rsidR="009D496A">
        <w:rPr>
          <w:bCs/>
          <w:iCs/>
        </w:rPr>
        <w:t>as a part of its ongoing operational CCR management plan</w:t>
      </w:r>
      <w:r w:rsidR="0037222C">
        <w:rPr>
          <w:bCs/>
          <w:iCs/>
        </w:rPr>
        <w:t>.</w:t>
      </w:r>
      <w:r w:rsidR="00CC4DCB">
        <w:rPr>
          <w:bCs/>
          <w:iCs/>
        </w:rPr>
        <w:t xml:space="preserve"> </w:t>
      </w:r>
      <w:r w:rsidR="00836B8C">
        <w:rPr>
          <w:bCs/>
          <w:iCs/>
        </w:rPr>
        <w:t xml:space="preserve">Finally, </w:t>
      </w:r>
      <w:r w:rsidR="002A62AD">
        <w:rPr>
          <w:bCs/>
          <w:iCs/>
        </w:rPr>
        <w:t>t</w:t>
      </w:r>
      <w:r w:rsidR="002A62AD">
        <w:t xml:space="preserve">he Company’s plans to address CCR ash ponds and landfills continue to progress as approved in the 2019 and 2022 IRP </w:t>
      </w:r>
      <w:r w:rsidR="002A62AD" w:rsidRPr="00505A21">
        <w:t>(Docket No. 42310</w:t>
      </w:r>
      <w:r w:rsidR="002A62AD">
        <w:t xml:space="preserve"> </w:t>
      </w:r>
      <w:r w:rsidR="002A62AD" w:rsidRPr="00505A21">
        <w:t>and 44160, respectively)</w:t>
      </w:r>
      <w:r w:rsidR="002A62AD">
        <w:t xml:space="preserve">, </w:t>
      </w:r>
      <w:r w:rsidR="00836B8C">
        <w:rPr>
          <w:bCs/>
          <w:iCs/>
        </w:rPr>
        <w:t xml:space="preserve">with </w:t>
      </w:r>
      <w:r w:rsidR="00287ADF">
        <w:rPr>
          <w:bCs/>
          <w:iCs/>
        </w:rPr>
        <w:t xml:space="preserve">20 ash ponds to be closed by removal and 9 ash ponds to be closed in place </w:t>
      </w:r>
      <w:r w:rsidR="00232A73">
        <w:rPr>
          <w:bCs/>
          <w:iCs/>
        </w:rPr>
        <w:t>with</w:t>
      </w:r>
      <w:r w:rsidR="00287ADF">
        <w:rPr>
          <w:bCs/>
          <w:iCs/>
        </w:rPr>
        <w:t xml:space="preserve"> various deadlines de</w:t>
      </w:r>
      <w:r w:rsidR="00511B18">
        <w:rPr>
          <w:bCs/>
          <w:iCs/>
        </w:rPr>
        <w:t>termined</w:t>
      </w:r>
      <w:r w:rsidR="00287ADF">
        <w:rPr>
          <w:bCs/>
          <w:iCs/>
        </w:rPr>
        <w:t xml:space="preserve"> by the size of </w:t>
      </w:r>
      <w:r w:rsidR="00765652">
        <w:rPr>
          <w:bCs/>
          <w:iCs/>
        </w:rPr>
        <w:t xml:space="preserve">the ash </w:t>
      </w:r>
      <w:r w:rsidR="00287ADF">
        <w:rPr>
          <w:bCs/>
          <w:iCs/>
        </w:rPr>
        <w:t>pond</w:t>
      </w:r>
      <w:r w:rsidR="00765652">
        <w:rPr>
          <w:bCs/>
          <w:iCs/>
        </w:rPr>
        <w:t>s</w:t>
      </w:r>
      <w:r w:rsidR="00287ADF">
        <w:rPr>
          <w:bCs/>
          <w:iCs/>
        </w:rPr>
        <w:t xml:space="preserve">. </w:t>
      </w:r>
    </w:p>
    <w:p w14:paraId="00C76291" w14:textId="3420F07E" w:rsidR="00495586" w:rsidRDefault="00542B20" w:rsidP="00C942DB">
      <w:pPr>
        <w:spacing w:before="120" w:after="0" w:line="240" w:lineRule="auto"/>
      </w:pPr>
      <w:r>
        <w:t>As the Company progresses with implementation of the environmental compliance strategy</w:t>
      </w:r>
      <w:r w:rsidR="00081C92">
        <w:t xml:space="preserve">, the ECS process remains critical to responding to and mitigating risks related to </w:t>
      </w:r>
      <w:r w:rsidR="00EE05BD">
        <w:t xml:space="preserve">environmental </w:t>
      </w:r>
      <w:r w:rsidR="00081C92">
        <w:t xml:space="preserve">regulatory </w:t>
      </w:r>
      <w:r w:rsidR="006B5461">
        <w:t>developments</w:t>
      </w:r>
      <w:r w:rsidR="00081C92">
        <w:t>.</w:t>
      </w:r>
      <w:r>
        <w:t xml:space="preserve"> </w:t>
      </w:r>
      <w:r w:rsidR="00085AD5">
        <w:t>Adherence to t</w:t>
      </w:r>
      <w:r w:rsidR="00495586" w:rsidRPr="009C796C">
        <w:t xml:space="preserve">he process has resulted in </w:t>
      </w:r>
      <w:r w:rsidR="00D376B7">
        <w:t xml:space="preserve">decisions and </w:t>
      </w:r>
      <w:r w:rsidR="00495586" w:rsidRPr="009C796C">
        <w:t xml:space="preserve">investments that have enabled the Company to </w:t>
      </w:r>
      <w:r w:rsidR="00D376B7">
        <w:t>comply with all environmental requirements</w:t>
      </w:r>
      <w:r w:rsidR="0082404D">
        <w:t xml:space="preserve">, while </w:t>
      </w:r>
      <w:r w:rsidR="00D376B7">
        <w:t>maintaining</w:t>
      </w:r>
      <w:r w:rsidR="00495586" w:rsidRPr="009C796C">
        <w:t xml:space="preserve"> a diverse generation mix to serve customers</w:t>
      </w:r>
      <w:r w:rsidR="003B7EB3">
        <w:t xml:space="preserve"> in a reliable and econo</w:t>
      </w:r>
      <w:r w:rsidR="00626226">
        <w:t>mical manner</w:t>
      </w:r>
      <w:r w:rsidR="00495586" w:rsidRPr="009C796C">
        <w:t xml:space="preserve">. </w:t>
      </w:r>
    </w:p>
    <w:p w14:paraId="1417E293" w14:textId="77777777" w:rsidR="00A13A07" w:rsidRDefault="00A13A07" w:rsidP="00C942DB">
      <w:pPr>
        <w:spacing w:before="120" w:after="0" w:line="240" w:lineRule="auto"/>
        <w:sectPr w:rsidR="00A13A07" w:rsidSect="00E57D27">
          <w:footerReference w:type="default" r:id="rId14"/>
          <w:pgSz w:w="12240" w:h="15840"/>
          <w:pgMar w:top="1440" w:right="1440" w:bottom="1440" w:left="1440" w:header="720" w:footer="720" w:gutter="0"/>
          <w:pgNumType w:fmt="lowerRoman" w:start="1"/>
          <w:cols w:space="720"/>
          <w:docGrid w:linePitch="360"/>
        </w:sectPr>
      </w:pPr>
    </w:p>
    <w:sdt>
      <w:sdtPr>
        <w:rPr>
          <w:rFonts w:asciiTheme="minorHAnsi" w:eastAsiaTheme="minorEastAsia" w:hAnsiTheme="minorHAnsi" w:cstheme="minorBidi"/>
          <w:color w:val="auto"/>
          <w:sz w:val="22"/>
          <w:szCs w:val="22"/>
        </w:rPr>
        <w:id w:val="-640191848"/>
        <w:docPartObj>
          <w:docPartGallery w:val="Table of Contents"/>
          <w:docPartUnique/>
        </w:docPartObj>
      </w:sdtPr>
      <w:sdtEndPr>
        <w:rPr>
          <w:b/>
          <w:bCs/>
          <w:noProof/>
        </w:rPr>
      </w:sdtEndPr>
      <w:sdtContent>
        <w:p w14:paraId="5A95CED2" w14:textId="11A7828A" w:rsidR="00835B1F" w:rsidRDefault="00835B1F">
          <w:pPr>
            <w:pStyle w:val="TOCHeading"/>
          </w:pPr>
          <w:r>
            <w:t>Table of Contents</w:t>
          </w:r>
        </w:p>
        <w:p w14:paraId="37BAB654" w14:textId="23183C76" w:rsidR="009502F3" w:rsidRDefault="00835B1F" w:rsidP="006A00A0">
          <w:pPr>
            <w:pStyle w:val="TOC1"/>
            <w:rPr>
              <w:noProof/>
            </w:rPr>
          </w:pPr>
          <w:r>
            <w:fldChar w:fldCharType="begin"/>
          </w:r>
          <w:r>
            <w:instrText xml:space="preserve"> TOC \o "1-3" \h \z \u </w:instrText>
          </w:r>
          <w:r>
            <w:fldChar w:fldCharType="separate"/>
          </w:r>
          <w:hyperlink w:anchor="_Toc130200993" w:history="1">
            <w:r w:rsidR="009502F3" w:rsidRPr="006115AA">
              <w:rPr>
                <w:rStyle w:val="Hyperlink"/>
                <w:b/>
                <w:bCs/>
                <w:noProof/>
              </w:rPr>
              <w:t>202</w:t>
            </w:r>
            <w:r w:rsidR="0043583C">
              <w:rPr>
                <w:rStyle w:val="Hyperlink"/>
                <w:b/>
                <w:bCs/>
                <w:noProof/>
              </w:rPr>
              <w:t>4</w:t>
            </w:r>
            <w:r w:rsidR="009502F3" w:rsidRPr="006115AA">
              <w:rPr>
                <w:rStyle w:val="Hyperlink"/>
                <w:b/>
                <w:bCs/>
                <w:noProof/>
              </w:rPr>
              <w:t xml:space="preserve"> Environmental Compliance Strategy Executive Summary</w:t>
            </w:r>
            <w:r w:rsidR="009502F3">
              <w:rPr>
                <w:noProof/>
                <w:webHidden/>
              </w:rPr>
              <w:tab/>
            </w:r>
            <w:r w:rsidR="009502F3">
              <w:rPr>
                <w:noProof/>
                <w:webHidden/>
              </w:rPr>
              <w:fldChar w:fldCharType="begin"/>
            </w:r>
            <w:r w:rsidR="009502F3">
              <w:rPr>
                <w:noProof/>
                <w:webHidden/>
              </w:rPr>
              <w:instrText xml:space="preserve"> PAGEREF _Toc130200993 \h </w:instrText>
            </w:r>
            <w:r w:rsidR="009502F3">
              <w:rPr>
                <w:noProof/>
                <w:webHidden/>
              </w:rPr>
            </w:r>
            <w:r w:rsidR="009502F3">
              <w:rPr>
                <w:noProof/>
                <w:webHidden/>
              </w:rPr>
              <w:fldChar w:fldCharType="separate"/>
            </w:r>
            <w:r w:rsidR="0043583C">
              <w:rPr>
                <w:noProof/>
                <w:webHidden/>
              </w:rPr>
              <w:t>i</w:t>
            </w:r>
            <w:r w:rsidR="009502F3">
              <w:rPr>
                <w:noProof/>
                <w:webHidden/>
              </w:rPr>
              <w:fldChar w:fldCharType="end"/>
            </w:r>
          </w:hyperlink>
        </w:p>
        <w:p w14:paraId="10F17C86" w14:textId="2CAEA063" w:rsidR="009502F3" w:rsidRDefault="000B0904" w:rsidP="008D4115">
          <w:pPr>
            <w:pStyle w:val="TOC2"/>
            <w:ind w:left="0"/>
            <w:rPr>
              <w:noProof/>
            </w:rPr>
          </w:pPr>
          <w:hyperlink w:anchor="_Toc130200994" w:history="1">
            <w:r w:rsidR="009502F3" w:rsidRPr="006115AA">
              <w:rPr>
                <w:rStyle w:val="Hyperlink"/>
                <w:b/>
                <w:bCs/>
                <w:noProof/>
              </w:rPr>
              <w:t>1.0</w:t>
            </w:r>
            <w:r w:rsidR="00D81EB2">
              <w:rPr>
                <w:rStyle w:val="Hyperlink"/>
                <w:b/>
                <w:bCs/>
                <w:noProof/>
              </w:rPr>
              <w:t xml:space="preserve"> </w:t>
            </w:r>
            <w:r w:rsidR="009502F3" w:rsidRPr="006115AA">
              <w:rPr>
                <w:rStyle w:val="Hyperlink"/>
                <w:b/>
                <w:bCs/>
                <w:noProof/>
              </w:rPr>
              <w:t>Introduction</w:t>
            </w:r>
            <w:r w:rsidR="009502F3">
              <w:rPr>
                <w:noProof/>
                <w:webHidden/>
              </w:rPr>
              <w:tab/>
            </w:r>
            <w:r w:rsidR="009502F3">
              <w:rPr>
                <w:noProof/>
                <w:webHidden/>
              </w:rPr>
              <w:fldChar w:fldCharType="begin"/>
            </w:r>
            <w:r w:rsidR="009502F3">
              <w:rPr>
                <w:noProof/>
                <w:webHidden/>
              </w:rPr>
              <w:instrText xml:space="preserve"> PAGEREF _Toc130200994 \h </w:instrText>
            </w:r>
            <w:r w:rsidR="009502F3">
              <w:rPr>
                <w:noProof/>
                <w:webHidden/>
              </w:rPr>
            </w:r>
            <w:r w:rsidR="009502F3">
              <w:rPr>
                <w:noProof/>
                <w:webHidden/>
              </w:rPr>
              <w:fldChar w:fldCharType="separate"/>
            </w:r>
            <w:r w:rsidR="0043583C">
              <w:rPr>
                <w:noProof/>
                <w:webHidden/>
              </w:rPr>
              <w:t>1</w:t>
            </w:r>
            <w:r w:rsidR="009502F3">
              <w:rPr>
                <w:noProof/>
                <w:webHidden/>
              </w:rPr>
              <w:fldChar w:fldCharType="end"/>
            </w:r>
          </w:hyperlink>
        </w:p>
        <w:p w14:paraId="1B42E983" w14:textId="6C7C3C8A" w:rsidR="009502F3" w:rsidRDefault="000B0904" w:rsidP="009064B4">
          <w:pPr>
            <w:pStyle w:val="TOC2"/>
            <w:rPr>
              <w:noProof/>
            </w:rPr>
          </w:pPr>
          <w:hyperlink w:anchor="_Toc130200995" w:history="1">
            <w:r w:rsidR="009502F3" w:rsidRPr="006115AA">
              <w:rPr>
                <w:rStyle w:val="Hyperlink"/>
                <w:b/>
                <w:bCs/>
                <w:noProof/>
              </w:rPr>
              <w:t>1.1 Strategy Process</w:t>
            </w:r>
            <w:r w:rsidR="009502F3">
              <w:rPr>
                <w:noProof/>
                <w:webHidden/>
              </w:rPr>
              <w:tab/>
            </w:r>
            <w:r w:rsidR="009502F3">
              <w:rPr>
                <w:noProof/>
                <w:webHidden/>
              </w:rPr>
              <w:fldChar w:fldCharType="begin"/>
            </w:r>
            <w:r w:rsidR="009502F3">
              <w:rPr>
                <w:noProof/>
                <w:webHidden/>
              </w:rPr>
              <w:instrText xml:space="preserve"> PAGEREF _Toc130200995 \h </w:instrText>
            </w:r>
            <w:r w:rsidR="009502F3">
              <w:rPr>
                <w:noProof/>
                <w:webHidden/>
              </w:rPr>
            </w:r>
            <w:r w:rsidR="009502F3">
              <w:rPr>
                <w:noProof/>
                <w:webHidden/>
              </w:rPr>
              <w:fldChar w:fldCharType="separate"/>
            </w:r>
            <w:r w:rsidR="0043583C">
              <w:rPr>
                <w:noProof/>
                <w:webHidden/>
              </w:rPr>
              <w:t>2</w:t>
            </w:r>
            <w:r w:rsidR="009502F3">
              <w:rPr>
                <w:noProof/>
                <w:webHidden/>
              </w:rPr>
              <w:fldChar w:fldCharType="end"/>
            </w:r>
          </w:hyperlink>
        </w:p>
        <w:p w14:paraId="71050F58" w14:textId="1C551135" w:rsidR="009502F3" w:rsidRDefault="000B0904" w:rsidP="009064B4">
          <w:pPr>
            <w:pStyle w:val="TOC2"/>
            <w:rPr>
              <w:noProof/>
            </w:rPr>
          </w:pPr>
          <w:hyperlink w:anchor="_Toc130200996" w:history="1">
            <w:r w:rsidR="009502F3" w:rsidRPr="006115AA">
              <w:rPr>
                <w:rStyle w:val="Hyperlink"/>
                <w:b/>
                <w:bCs/>
                <w:noProof/>
              </w:rPr>
              <w:t>1.2 Strategy Assumptions</w:t>
            </w:r>
            <w:r w:rsidR="009502F3">
              <w:rPr>
                <w:noProof/>
                <w:webHidden/>
              </w:rPr>
              <w:tab/>
            </w:r>
            <w:r w:rsidR="009502F3">
              <w:rPr>
                <w:noProof/>
                <w:webHidden/>
              </w:rPr>
              <w:fldChar w:fldCharType="begin"/>
            </w:r>
            <w:r w:rsidR="009502F3">
              <w:rPr>
                <w:noProof/>
                <w:webHidden/>
              </w:rPr>
              <w:instrText xml:space="preserve"> PAGEREF _Toc130200996 \h </w:instrText>
            </w:r>
            <w:r w:rsidR="009502F3">
              <w:rPr>
                <w:noProof/>
                <w:webHidden/>
              </w:rPr>
            </w:r>
            <w:r w:rsidR="009502F3">
              <w:rPr>
                <w:noProof/>
                <w:webHidden/>
              </w:rPr>
              <w:fldChar w:fldCharType="separate"/>
            </w:r>
            <w:r w:rsidR="0043583C">
              <w:rPr>
                <w:noProof/>
                <w:webHidden/>
              </w:rPr>
              <w:t>3</w:t>
            </w:r>
            <w:r w:rsidR="009502F3">
              <w:rPr>
                <w:noProof/>
                <w:webHidden/>
              </w:rPr>
              <w:fldChar w:fldCharType="end"/>
            </w:r>
          </w:hyperlink>
        </w:p>
        <w:p w14:paraId="6A2A8B1E" w14:textId="3E043CD9" w:rsidR="009502F3" w:rsidRDefault="000B0904" w:rsidP="006A00A0">
          <w:pPr>
            <w:pStyle w:val="TOC1"/>
            <w:rPr>
              <w:noProof/>
            </w:rPr>
          </w:pPr>
          <w:hyperlink w:anchor="_Toc130200997" w:history="1">
            <w:r w:rsidR="009502F3" w:rsidRPr="006115AA">
              <w:rPr>
                <w:rStyle w:val="Hyperlink"/>
                <w:b/>
                <w:bCs/>
                <w:noProof/>
              </w:rPr>
              <w:t>2.0 Regulatory and Strategy Updates</w:t>
            </w:r>
            <w:r w:rsidR="009502F3">
              <w:rPr>
                <w:noProof/>
                <w:webHidden/>
              </w:rPr>
              <w:tab/>
            </w:r>
            <w:r w:rsidR="009502F3">
              <w:rPr>
                <w:noProof/>
                <w:webHidden/>
              </w:rPr>
              <w:fldChar w:fldCharType="begin"/>
            </w:r>
            <w:r w:rsidR="009502F3">
              <w:rPr>
                <w:noProof/>
                <w:webHidden/>
              </w:rPr>
              <w:instrText xml:space="preserve"> PAGEREF _Toc130200997 \h </w:instrText>
            </w:r>
            <w:r w:rsidR="009502F3">
              <w:rPr>
                <w:noProof/>
                <w:webHidden/>
              </w:rPr>
            </w:r>
            <w:r w:rsidR="009502F3">
              <w:rPr>
                <w:noProof/>
                <w:webHidden/>
              </w:rPr>
              <w:fldChar w:fldCharType="separate"/>
            </w:r>
            <w:r w:rsidR="0043583C">
              <w:rPr>
                <w:noProof/>
                <w:webHidden/>
              </w:rPr>
              <w:t>5</w:t>
            </w:r>
            <w:r w:rsidR="009502F3">
              <w:rPr>
                <w:noProof/>
                <w:webHidden/>
              </w:rPr>
              <w:fldChar w:fldCharType="end"/>
            </w:r>
          </w:hyperlink>
        </w:p>
        <w:p w14:paraId="7D27EA51" w14:textId="4994386B" w:rsidR="009502F3" w:rsidRDefault="000B0904" w:rsidP="001644A2">
          <w:pPr>
            <w:pStyle w:val="TOC1"/>
            <w:ind w:left="720"/>
            <w:rPr>
              <w:noProof/>
            </w:rPr>
          </w:pPr>
          <w:hyperlink w:anchor="_Toc130200998" w:history="1">
            <w:r w:rsidR="009502F3" w:rsidRPr="006115AA">
              <w:rPr>
                <w:rStyle w:val="Hyperlink"/>
                <w:b/>
                <w:bCs/>
                <w:noProof/>
              </w:rPr>
              <w:t>2.1 Water Regulatory and Strategy Updates</w:t>
            </w:r>
            <w:r w:rsidR="009502F3">
              <w:rPr>
                <w:noProof/>
                <w:webHidden/>
              </w:rPr>
              <w:tab/>
            </w:r>
            <w:r w:rsidR="009502F3">
              <w:rPr>
                <w:noProof/>
                <w:webHidden/>
              </w:rPr>
              <w:fldChar w:fldCharType="begin"/>
            </w:r>
            <w:r w:rsidR="009502F3">
              <w:rPr>
                <w:noProof/>
                <w:webHidden/>
              </w:rPr>
              <w:instrText xml:space="preserve"> PAGEREF _Toc130200998 \h </w:instrText>
            </w:r>
            <w:r w:rsidR="009502F3">
              <w:rPr>
                <w:noProof/>
                <w:webHidden/>
              </w:rPr>
            </w:r>
            <w:r w:rsidR="009502F3">
              <w:rPr>
                <w:noProof/>
                <w:webHidden/>
              </w:rPr>
              <w:fldChar w:fldCharType="separate"/>
            </w:r>
            <w:r w:rsidR="0043583C">
              <w:rPr>
                <w:noProof/>
                <w:webHidden/>
              </w:rPr>
              <w:t>5</w:t>
            </w:r>
            <w:r w:rsidR="009502F3">
              <w:rPr>
                <w:noProof/>
                <w:webHidden/>
              </w:rPr>
              <w:fldChar w:fldCharType="end"/>
            </w:r>
          </w:hyperlink>
        </w:p>
        <w:p w14:paraId="2C28D23D" w14:textId="39A22183" w:rsidR="009502F3" w:rsidRDefault="000B0904" w:rsidP="001644A2">
          <w:pPr>
            <w:pStyle w:val="TOC1"/>
            <w:ind w:left="720"/>
            <w:rPr>
              <w:noProof/>
            </w:rPr>
          </w:pPr>
          <w:hyperlink w:anchor="_Toc130201002" w:history="1">
            <w:r w:rsidR="009502F3" w:rsidRPr="006115AA">
              <w:rPr>
                <w:rStyle w:val="Hyperlink"/>
                <w:b/>
                <w:bCs/>
                <w:noProof/>
              </w:rPr>
              <w:t>2.2 Coal Combustion Residuals Regulatory and Strategy Updates</w:t>
            </w:r>
            <w:r w:rsidR="009502F3">
              <w:rPr>
                <w:noProof/>
                <w:webHidden/>
              </w:rPr>
              <w:tab/>
            </w:r>
            <w:r w:rsidR="009502F3">
              <w:rPr>
                <w:noProof/>
                <w:webHidden/>
              </w:rPr>
              <w:fldChar w:fldCharType="begin"/>
            </w:r>
            <w:r w:rsidR="009502F3">
              <w:rPr>
                <w:noProof/>
                <w:webHidden/>
              </w:rPr>
              <w:instrText xml:space="preserve"> PAGEREF _Toc130201002 \h </w:instrText>
            </w:r>
            <w:r w:rsidR="009502F3">
              <w:rPr>
                <w:noProof/>
                <w:webHidden/>
              </w:rPr>
            </w:r>
            <w:r w:rsidR="009502F3">
              <w:rPr>
                <w:noProof/>
                <w:webHidden/>
              </w:rPr>
              <w:fldChar w:fldCharType="separate"/>
            </w:r>
            <w:r w:rsidR="0043583C">
              <w:rPr>
                <w:noProof/>
                <w:webHidden/>
              </w:rPr>
              <w:t>10</w:t>
            </w:r>
            <w:r w:rsidR="009502F3">
              <w:rPr>
                <w:noProof/>
                <w:webHidden/>
              </w:rPr>
              <w:fldChar w:fldCharType="end"/>
            </w:r>
          </w:hyperlink>
        </w:p>
        <w:p w14:paraId="050522BD" w14:textId="5A7B9E21" w:rsidR="009502F3" w:rsidRDefault="000B0904" w:rsidP="001644A2">
          <w:pPr>
            <w:pStyle w:val="TOC1"/>
            <w:ind w:left="720"/>
            <w:rPr>
              <w:noProof/>
            </w:rPr>
          </w:pPr>
          <w:hyperlink w:anchor="_Toc130201006" w:history="1">
            <w:r w:rsidR="009502F3" w:rsidRPr="006115AA">
              <w:rPr>
                <w:rStyle w:val="Hyperlink"/>
                <w:b/>
                <w:bCs/>
                <w:noProof/>
              </w:rPr>
              <w:t>2.3 Air Regulatory and Strategy Updates</w:t>
            </w:r>
            <w:r w:rsidR="009502F3">
              <w:rPr>
                <w:noProof/>
                <w:webHidden/>
              </w:rPr>
              <w:tab/>
            </w:r>
            <w:r w:rsidR="009502F3">
              <w:rPr>
                <w:noProof/>
                <w:webHidden/>
              </w:rPr>
              <w:fldChar w:fldCharType="begin"/>
            </w:r>
            <w:r w:rsidR="009502F3">
              <w:rPr>
                <w:noProof/>
                <w:webHidden/>
              </w:rPr>
              <w:instrText xml:space="preserve"> PAGEREF _Toc130201006 \h </w:instrText>
            </w:r>
            <w:r w:rsidR="009502F3">
              <w:rPr>
                <w:noProof/>
                <w:webHidden/>
              </w:rPr>
            </w:r>
            <w:r w:rsidR="009502F3">
              <w:rPr>
                <w:noProof/>
                <w:webHidden/>
              </w:rPr>
              <w:fldChar w:fldCharType="separate"/>
            </w:r>
            <w:r w:rsidR="0043583C">
              <w:rPr>
                <w:noProof/>
                <w:webHidden/>
              </w:rPr>
              <w:t>20</w:t>
            </w:r>
            <w:r w:rsidR="009502F3">
              <w:rPr>
                <w:noProof/>
                <w:webHidden/>
              </w:rPr>
              <w:fldChar w:fldCharType="end"/>
            </w:r>
          </w:hyperlink>
        </w:p>
        <w:p w14:paraId="038827FD" w14:textId="49D5B182" w:rsidR="009502F3" w:rsidRDefault="000B0904" w:rsidP="006A00A0">
          <w:pPr>
            <w:pStyle w:val="TOC1"/>
            <w:rPr>
              <w:noProof/>
            </w:rPr>
          </w:pPr>
          <w:hyperlink w:anchor="_Toc130201014" w:history="1">
            <w:r w:rsidR="009502F3" w:rsidRPr="006115AA">
              <w:rPr>
                <w:rStyle w:val="Hyperlink"/>
                <w:b/>
                <w:bCs/>
                <w:noProof/>
              </w:rPr>
              <w:t>3.0 Financial Summary</w:t>
            </w:r>
            <w:r w:rsidR="009502F3">
              <w:rPr>
                <w:noProof/>
                <w:webHidden/>
              </w:rPr>
              <w:tab/>
            </w:r>
            <w:r w:rsidR="009502F3">
              <w:rPr>
                <w:noProof/>
                <w:webHidden/>
              </w:rPr>
              <w:fldChar w:fldCharType="begin"/>
            </w:r>
            <w:r w:rsidR="009502F3">
              <w:rPr>
                <w:noProof/>
                <w:webHidden/>
              </w:rPr>
              <w:instrText xml:space="preserve"> PAGEREF _Toc130201014 \h </w:instrText>
            </w:r>
            <w:r w:rsidR="009502F3">
              <w:rPr>
                <w:noProof/>
                <w:webHidden/>
              </w:rPr>
            </w:r>
            <w:r w:rsidR="009502F3">
              <w:rPr>
                <w:noProof/>
                <w:webHidden/>
              </w:rPr>
              <w:fldChar w:fldCharType="separate"/>
            </w:r>
            <w:r w:rsidR="0043583C">
              <w:rPr>
                <w:noProof/>
                <w:webHidden/>
              </w:rPr>
              <w:t>35</w:t>
            </w:r>
            <w:r w:rsidR="009502F3">
              <w:rPr>
                <w:noProof/>
                <w:webHidden/>
              </w:rPr>
              <w:fldChar w:fldCharType="end"/>
            </w:r>
          </w:hyperlink>
        </w:p>
        <w:p w14:paraId="1972B548" w14:textId="0FA7636B" w:rsidR="009502F3" w:rsidRDefault="000B0904" w:rsidP="006A00A0">
          <w:pPr>
            <w:pStyle w:val="TOC1"/>
            <w:rPr>
              <w:noProof/>
            </w:rPr>
          </w:pPr>
          <w:hyperlink w:anchor="_Toc130201015" w:history="1">
            <w:r w:rsidR="009502F3" w:rsidRPr="006115AA">
              <w:rPr>
                <w:rStyle w:val="Hyperlink"/>
                <w:rFonts w:eastAsia="Arial"/>
                <w:b/>
                <w:bCs/>
                <w:noProof/>
              </w:rPr>
              <w:t>ECS - Appendix A – Monitored Regulations</w:t>
            </w:r>
            <w:r w:rsidR="009502F3">
              <w:rPr>
                <w:noProof/>
                <w:webHidden/>
              </w:rPr>
              <w:tab/>
            </w:r>
            <w:r w:rsidR="009502F3">
              <w:rPr>
                <w:noProof/>
                <w:webHidden/>
              </w:rPr>
              <w:fldChar w:fldCharType="begin"/>
            </w:r>
            <w:r w:rsidR="009502F3">
              <w:rPr>
                <w:noProof/>
                <w:webHidden/>
              </w:rPr>
              <w:instrText xml:space="preserve"> PAGEREF _Toc130201015 \h </w:instrText>
            </w:r>
            <w:r w:rsidR="009502F3">
              <w:rPr>
                <w:noProof/>
                <w:webHidden/>
              </w:rPr>
            </w:r>
            <w:r w:rsidR="009502F3">
              <w:rPr>
                <w:noProof/>
                <w:webHidden/>
              </w:rPr>
              <w:fldChar w:fldCharType="separate"/>
            </w:r>
            <w:r w:rsidR="0043583C">
              <w:rPr>
                <w:noProof/>
                <w:webHidden/>
              </w:rPr>
              <w:t>36</w:t>
            </w:r>
            <w:r w:rsidR="009502F3">
              <w:rPr>
                <w:noProof/>
                <w:webHidden/>
              </w:rPr>
              <w:fldChar w:fldCharType="end"/>
            </w:r>
          </w:hyperlink>
        </w:p>
        <w:p w14:paraId="5210FAF3" w14:textId="740D2DF7" w:rsidR="009502F3" w:rsidRDefault="000B0904" w:rsidP="006A00A0">
          <w:pPr>
            <w:pStyle w:val="TOC1"/>
            <w:rPr>
              <w:noProof/>
            </w:rPr>
          </w:pPr>
          <w:hyperlink w:anchor="_Toc130201024" w:history="1">
            <w:r w:rsidR="009502F3" w:rsidRPr="006115AA">
              <w:rPr>
                <w:rStyle w:val="Hyperlink"/>
                <w:rFonts w:eastAsia="Arial"/>
                <w:b/>
                <w:bCs/>
                <w:noProof/>
              </w:rPr>
              <w:t>ECS - Appendix B – Acronyms/Abbreviations</w:t>
            </w:r>
            <w:r w:rsidR="009502F3">
              <w:rPr>
                <w:noProof/>
                <w:webHidden/>
              </w:rPr>
              <w:tab/>
            </w:r>
            <w:r w:rsidR="009502F3">
              <w:rPr>
                <w:noProof/>
                <w:webHidden/>
              </w:rPr>
              <w:fldChar w:fldCharType="begin"/>
            </w:r>
            <w:r w:rsidR="009502F3">
              <w:rPr>
                <w:noProof/>
                <w:webHidden/>
              </w:rPr>
              <w:instrText xml:space="preserve"> PAGEREF _Toc130201024 \h </w:instrText>
            </w:r>
            <w:r w:rsidR="009502F3">
              <w:rPr>
                <w:noProof/>
                <w:webHidden/>
              </w:rPr>
            </w:r>
            <w:r w:rsidR="009502F3">
              <w:rPr>
                <w:noProof/>
                <w:webHidden/>
              </w:rPr>
              <w:fldChar w:fldCharType="separate"/>
            </w:r>
            <w:r w:rsidR="0043583C">
              <w:rPr>
                <w:noProof/>
                <w:webHidden/>
              </w:rPr>
              <w:t>38</w:t>
            </w:r>
            <w:r w:rsidR="009502F3">
              <w:rPr>
                <w:noProof/>
                <w:webHidden/>
              </w:rPr>
              <w:fldChar w:fldCharType="end"/>
            </w:r>
          </w:hyperlink>
        </w:p>
        <w:p w14:paraId="70780B19" w14:textId="551CC609" w:rsidR="009502F3" w:rsidRDefault="000B0904" w:rsidP="006A00A0">
          <w:pPr>
            <w:pStyle w:val="TOC1"/>
            <w:rPr>
              <w:noProof/>
            </w:rPr>
          </w:pPr>
          <w:hyperlink w:anchor="_Toc130201025" w:history="1">
            <w:r w:rsidR="009502F3" w:rsidRPr="006115AA">
              <w:rPr>
                <w:rStyle w:val="Hyperlink"/>
                <w:rFonts w:eastAsia="Arial"/>
                <w:b/>
                <w:bCs/>
                <w:noProof/>
              </w:rPr>
              <w:t>ECS - Appendix C – R&amp;D and Environmental Control Alternatives</w:t>
            </w:r>
            <w:r w:rsidR="009502F3">
              <w:rPr>
                <w:noProof/>
                <w:webHidden/>
              </w:rPr>
              <w:tab/>
            </w:r>
            <w:r w:rsidR="009502F3">
              <w:rPr>
                <w:noProof/>
                <w:webHidden/>
              </w:rPr>
              <w:fldChar w:fldCharType="begin"/>
            </w:r>
            <w:r w:rsidR="009502F3">
              <w:rPr>
                <w:noProof/>
                <w:webHidden/>
              </w:rPr>
              <w:instrText xml:space="preserve"> PAGEREF _Toc130201025 \h </w:instrText>
            </w:r>
            <w:r w:rsidR="009502F3">
              <w:rPr>
                <w:noProof/>
                <w:webHidden/>
              </w:rPr>
            </w:r>
            <w:r w:rsidR="009502F3">
              <w:rPr>
                <w:noProof/>
                <w:webHidden/>
              </w:rPr>
              <w:fldChar w:fldCharType="separate"/>
            </w:r>
            <w:r w:rsidR="0043583C">
              <w:rPr>
                <w:noProof/>
                <w:webHidden/>
              </w:rPr>
              <w:t>41</w:t>
            </w:r>
            <w:r w:rsidR="009502F3">
              <w:rPr>
                <w:noProof/>
                <w:webHidden/>
              </w:rPr>
              <w:fldChar w:fldCharType="end"/>
            </w:r>
          </w:hyperlink>
        </w:p>
        <w:p w14:paraId="05EF2DD8" w14:textId="5706DB8A" w:rsidR="009502F3" w:rsidRDefault="000B0904" w:rsidP="006A00A0">
          <w:pPr>
            <w:pStyle w:val="TOC1"/>
            <w:rPr>
              <w:noProof/>
            </w:rPr>
          </w:pPr>
          <w:hyperlink w:anchor="_Toc130201029" w:history="1">
            <w:r w:rsidR="009502F3" w:rsidRPr="006115AA">
              <w:rPr>
                <w:rStyle w:val="Hyperlink"/>
                <w:rFonts w:eastAsia="Arial"/>
                <w:b/>
                <w:bCs/>
                <w:noProof/>
              </w:rPr>
              <w:t xml:space="preserve">ECS - Appendix D – High-Level and Low-Level Radioactive Waste Storage </w:t>
            </w:r>
            <w:r w:rsidR="009502F3">
              <w:rPr>
                <w:noProof/>
                <w:webHidden/>
              </w:rPr>
              <w:tab/>
            </w:r>
            <w:r w:rsidR="009502F3">
              <w:rPr>
                <w:noProof/>
                <w:webHidden/>
              </w:rPr>
              <w:fldChar w:fldCharType="begin"/>
            </w:r>
            <w:r w:rsidR="009502F3">
              <w:rPr>
                <w:noProof/>
                <w:webHidden/>
              </w:rPr>
              <w:instrText xml:space="preserve"> PAGEREF _Toc130201029 \h </w:instrText>
            </w:r>
            <w:r w:rsidR="009502F3">
              <w:rPr>
                <w:noProof/>
                <w:webHidden/>
              </w:rPr>
            </w:r>
            <w:r w:rsidR="009502F3">
              <w:rPr>
                <w:noProof/>
                <w:webHidden/>
              </w:rPr>
              <w:fldChar w:fldCharType="separate"/>
            </w:r>
            <w:r w:rsidR="0043583C">
              <w:rPr>
                <w:noProof/>
                <w:webHidden/>
              </w:rPr>
              <w:t>49</w:t>
            </w:r>
            <w:r w:rsidR="009502F3">
              <w:rPr>
                <w:noProof/>
                <w:webHidden/>
              </w:rPr>
              <w:fldChar w:fldCharType="end"/>
            </w:r>
          </w:hyperlink>
        </w:p>
        <w:p w14:paraId="402C45CD" w14:textId="43BE5BBC" w:rsidR="00835B1F" w:rsidRDefault="00835B1F">
          <w:r>
            <w:rPr>
              <w:b/>
              <w:bCs/>
              <w:noProof/>
            </w:rPr>
            <w:fldChar w:fldCharType="end"/>
          </w:r>
        </w:p>
      </w:sdtContent>
    </w:sdt>
    <w:p w14:paraId="66F85B4D" w14:textId="77777777" w:rsidR="00EA0F46" w:rsidRDefault="00EA0F46">
      <w:pPr>
        <w:jc w:val="left"/>
        <w:sectPr w:rsidR="00EA0F46" w:rsidSect="00E57D2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pPr>
    </w:p>
    <w:p w14:paraId="01C47BEE" w14:textId="2C6D35E3" w:rsidR="00756E07" w:rsidRPr="004F0C64" w:rsidRDefault="00756E07" w:rsidP="000A253B">
      <w:pPr>
        <w:pStyle w:val="Heading2"/>
        <w:numPr>
          <w:ilvl w:val="0"/>
          <w:numId w:val="5"/>
        </w:numPr>
        <w:spacing w:before="120"/>
        <w:rPr>
          <w:b/>
          <w:bCs/>
        </w:rPr>
      </w:pPr>
      <w:bookmarkStart w:id="3" w:name="_Toc94197858"/>
      <w:bookmarkStart w:id="4" w:name="_Toc117253444"/>
      <w:bookmarkStart w:id="5" w:name="_Toc130200994"/>
      <w:r w:rsidRPr="004F0C64">
        <w:rPr>
          <w:b/>
          <w:bCs/>
        </w:rPr>
        <w:lastRenderedPageBreak/>
        <w:t>Introduction</w:t>
      </w:r>
      <w:bookmarkEnd w:id="3"/>
      <w:bookmarkEnd w:id="4"/>
      <w:bookmarkEnd w:id="5"/>
    </w:p>
    <w:p w14:paraId="388D26BC" w14:textId="6EFDD609" w:rsidR="00453E13" w:rsidRPr="005D3692" w:rsidRDefault="00343B7A" w:rsidP="0046348E">
      <w:pPr>
        <w:spacing w:before="120" w:after="0" w:line="240" w:lineRule="auto"/>
      </w:pPr>
      <w:r w:rsidRPr="009C796C">
        <w:t xml:space="preserve">Georgia Power Company (“Georgia Power” or the “Company” or “GPC”) is committed to meeting its environmental compliance obligations while also providing customers with clean, safe, reliable, and affordable energy. </w:t>
      </w:r>
      <w:r w:rsidR="00384CC8">
        <w:t xml:space="preserve">The Company </w:t>
      </w:r>
      <w:r w:rsidRPr="009C796C">
        <w:t xml:space="preserve">has </w:t>
      </w:r>
      <w:r w:rsidR="007352E0">
        <w:t>reduced</w:t>
      </w:r>
      <w:r w:rsidRPr="009C796C">
        <w:t xml:space="preserve"> nitrogen oxides (“NO</w:t>
      </w:r>
      <w:r w:rsidRPr="009C796C">
        <w:rPr>
          <w:vertAlign w:val="subscript"/>
        </w:rPr>
        <w:t>x</w:t>
      </w:r>
      <w:r w:rsidRPr="009C796C">
        <w:t>”) and sulfur dioxide (“SO</w:t>
      </w:r>
      <w:r w:rsidRPr="009C796C">
        <w:rPr>
          <w:vertAlign w:val="subscript"/>
        </w:rPr>
        <w:t>2</w:t>
      </w:r>
      <w:r w:rsidRPr="009C796C">
        <w:t>”) emission</w:t>
      </w:r>
      <w:r w:rsidR="00CD37EE">
        <w:t>s</w:t>
      </w:r>
      <w:r w:rsidRPr="009C796C">
        <w:t xml:space="preserve"> </w:t>
      </w:r>
      <w:r w:rsidR="00C150F0">
        <w:t xml:space="preserve">from its generating fleet </w:t>
      </w:r>
      <w:r w:rsidR="007352E0">
        <w:t xml:space="preserve">by </w:t>
      </w:r>
      <w:r w:rsidR="008F3A96">
        <w:t xml:space="preserve">more </w:t>
      </w:r>
      <w:r w:rsidR="0069636D">
        <w:t xml:space="preserve">than </w:t>
      </w:r>
      <w:r w:rsidRPr="009C796C">
        <w:t>9</w:t>
      </w:r>
      <w:r w:rsidR="000A187A">
        <w:t>5</w:t>
      </w:r>
      <w:r w:rsidRPr="009C796C">
        <w:t xml:space="preserve"> and 99 percent, respectively, since 199</w:t>
      </w:r>
      <w:r w:rsidR="000A53E3">
        <w:t xml:space="preserve">0, while </w:t>
      </w:r>
      <w:r w:rsidRPr="009C796C">
        <w:t>mercury emission</w:t>
      </w:r>
      <w:r w:rsidR="00D453C7">
        <w:t>s</w:t>
      </w:r>
      <w:r w:rsidRPr="009C796C">
        <w:t xml:space="preserve"> </w:t>
      </w:r>
      <w:r w:rsidR="000A53E3">
        <w:t xml:space="preserve">have decreased </w:t>
      </w:r>
      <w:r w:rsidR="00CF7B7E">
        <w:t>by</w:t>
      </w:r>
      <w:r w:rsidRPr="009C796C">
        <w:t xml:space="preserve"> </w:t>
      </w:r>
      <w:r w:rsidR="0069636D">
        <w:t>more than</w:t>
      </w:r>
      <w:r w:rsidRPr="009C796C">
        <w:t xml:space="preserve"> 9</w:t>
      </w:r>
      <w:r w:rsidR="0069636D">
        <w:t>8</w:t>
      </w:r>
      <w:r w:rsidRPr="009C796C">
        <w:t xml:space="preserve"> percent </w:t>
      </w:r>
      <w:r w:rsidR="00CF7B7E">
        <w:t xml:space="preserve">and </w:t>
      </w:r>
      <w:r w:rsidRPr="009C796C">
        <w:t>carbon dioxide (“CO</w:t>
      </w:r>
      <w:r w:rsidRPr="009C796C">
        <w:rPr>
          <w:vertAlign w:val="subscript"/>
        </w:rPr>
        <w:t>2</w:t>
      </w:r>
      <w:r w:rsidRPr="009C796C">
        <w:t xml:space="preserve">”) emissions by more than 60 percent </w:t>
      </w:r>
      <w:r w:rsidR="00CF7B7E">
        <w:t>since</w:t>
      </w:r>
      <w:r w:rsidR="000A53E3">
        <w:t xml:space="preserve"> 2007. </w:t>
      </w:r>
      <w:r w:rsidR="00D465B1" w:rsidRPr="009C796C">
        <w:t xml:space="preserve">Further, </w:t>
      </w:r>
      <w:r w:rsidR="00D465B1">
        <w:t xml:space="preserve">water withdrawals </w:t>
      </w:r>
      <w:r w:rsidR="00384CC8">
        <w:t xml:space="preserve">have decreased </w:t>
      </w:r>
      <w:r w:rsidR="00D465B1">
        <w:t xml:space="preserve">by 90% since 2003 with the transition of the generation fleet. </w:t>
      </w:r>
      <w:r w:rsidR="0026307E">
        <w:t xml:space="preserve">Wastewater discharge requirements </w:t>
      </w:r>
      <w:r w:rsidR="00D465B1" w:rsidRPr="009C796C">
        <w:t xml:space="preserve">and ash pond closures have resulted in the installation of </w:t>
      </w:r>
      <w:r w:rsidR="00D465B1">
        <w:t>16</w:t>
      </w:r>
      <w:r w:rsidR="00D465B1" w:rsidRPr="009C796C">
        <w:t xml:space="preserve"> wastewater treatment systems </w:t>
      </w:r>
      <w:r w:rsidR="00D465B1">
        <w:t xml:space="preserve">and </w:t>
      </w:r>
      <w:r w:rsidR="00D465B1" w:rsidRPr="009C796C">
        <w:t>dry</w:t>
      </w:r>
      <w:r w:rsidR="00D465B1">
        <w:t xml:space="preserve"> or </w:t>
      </w:r>
      <w:r w:rsidR="00D465B1" w:rsidRPr="009C796C">
        <w:t xml:space="preserve">zero discharge ash handling equipment for </w:t>
      </w:r>
      <w:r w:rsidR="00D465B1">
        <w:t>coal facilities</w:t>
      </w:r>
      <w:r w:rsidR="00D465B1" w:rsidRPr="009C796C">
        <w:t xml:space="preserve">. </w:t>
      </w:r>
      <w:r w:rsidR="00B77BB1">
        <w:t xml:space="preserve">The Company </w:t>
      </w:r>
      <w:r w:rsidR="00D465B1">
        <w:t>has</w:t>
      </w:r>
      <w:r w:rsidR="00D465B1" w:rsidRPr="003D640E">
        <w:t xml:space="preserve"> </w:t>
      </w:r>
      <w:r w:rsidR="00B77BB1">
        <w:t xml:space="preserve">also </w:t>
      </w:r>
      <w:r w:rsidR="00D465B1" w:rsidRPr="003D640E">
        <w:t>market</w:t>
      </w:r>
      <w:r w:rsidR="00D465B1">
        <w:t>ed</w:t>
      </w:r>
      <w:r w:rsidR="00D465B1" w:rsidRPr="005877E1">
        <w:t xml:space="preserve"> </w:t>
      </w:r>
      <w:r w:rsidR="00D465B1" w:rsidRPr="003D640E">
        <w:t>for beneficial use</w:t>
      </w:r>
      <w:r w:rsidR="00D465B1">
        <w:t>, over a four-year average,</w:t>
      </w:r>
      <w:r w:rsidR="00D465B1" w:rsidRPr="003D640E">
        <w:t xml:space="preserve"> more than 85 percent of the CCR generated from plant operations, </w:t>
      </w:r>
      <w:r w:rsidR="00D465B1" w:rsidRPr="009C796C">
        <w:rPr>
          <w:lang w:val="en"/>
        </w:rPr>
        <w:t>significantly reducing waste streams for the benefit of customers and the environment</w:t>
      </w:r>
      <w:r w:rsidR="0046348E">
        <w:rPr>
          <w:lang w:val="en"/>
        </w:rPr>
        <w:t>.</w:t>
      </w:r>
      <w:r>
        <w:t xml:space="preserve"> </w:t>
      </w:r>
    </w:p>
    <w:p w14:paraId="11C856AE" w14:textId="65A2FD2E" w:rsidR="00343B7A" w:rsidRDefault="005D3692" w:rsidP="0046348E">
      <w:pPr>
        <w:spacing w:before="120" w:after="0" w:line="240" w:lineRule="auto"/>
      </w:pPr>
      <w:r w:rsidRPr="005D3692">
        <w:rPr>
          <w:noProof/>
        </w:rPr>
        <w:drawing>
          <wp:inline distT="0" distB="0" distL="0" distR="0" wp14:anchorId="6E1C5C60" wp14:editId="275D2524">
            <wp:extent cx="5943600" cy="3426460"/>
            <wp:effectExtent l="0" t="0" r="0" b="2540"/>
            <wp:docPr id="928738834" name="Picture 928738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3426460"/>
                    </a:xfrm>
                    <a:prstGeom prst="rect">
                      <a:avLst/>
                    </a:prstGeom>
                    <a:noFill/>
                    <a:ln>
                      <a:noFill/>
                    </a:ln>
                  </pic:spPr>
                </pic:pic>
              </a:graphicData>
            </a:graphic>
          </wp:inline>
        </w:drawing>
      </w:r>
    </w:p>
    <w:p w14:paraId="4DB1FFE4" w14:textId="0BA5032B" w:rsidR="00343B7A" w:rsidRPr="00DB7156" w:rsidRDefault="00343B7A" w:rsidP="00B37258">
      <w:pPr>
        <w:spacing w:before="120" w:after="0" w:line="240" w:lineRule="auto"/>
        <w:jc w:val="center"/>
        <w:rPr>
          <w:rFonts w:cs="Arial"/>
          <w:b/>
          <w:bCs/>
          <w:sz w:val="20"/>
          <w:szCs w:val="20"/>
        </w:rPr>
      </w:pPr>
      <w:bookmarkStart w:id="6" w:name="_Ref129870926"/>
      <w:r w:rsidRPr="00DB7156">
        <w:rPr>
          <w:rFonts w:cs="Arial"/>
          <w:b/>
          <w:bCs/>
          <w:sz w:val="20"/>
          <w:szCs w:val="20"/>
        </w:rPr>
        <w:t>Figure</w:t>
      </w:r>
      <w:r w:rsidR="002404B1">
        <w:rPr>
          <w:rFonts w:cs="Arial"/>
          <w:b/>
          <w:bCs/>
          <w:sz w:val="20"/>
          <w:szCs w:val="20"/>
        </w:rPr>
        <w:t xml:space="preserve"> </w:t>
      </w:r>
      <w:r w:rsidR="007737F9">
        <w:rPr>
          <w:rFonts w:cs="Arial"/>
          <w:b/>
          <w:bCs/>
          <w:sz w:val="20"/>
          <w:szCs w:val="20"/>
        </w:rPr>
        <w:fldChar w:fldCharType="begin"/>
      </w:r>
      <w:r w:rsidR="007737F9">
        <w:rPr>
          <w:rFonts w:cs="Arial"/>
          <w:b/>
          <w:bCs/>
          <w:sz w:val="20"/>
          <w:szCs w:val="20"/>
        </w:rPr>
        <w:instrText xml:space="preserve"> SEQ Figure \* ARABIC \* MERGEFORMAT </w:instrText>
      </w:r>
      <w:r w:rsidR="007737F9">
        <w:rPr>
          <w:rFonts w:cs="Arial"/>
          <w:b/>
          <w:bCs/>
          <w:sz w:val="20"/>
          <w:szCs w:val="20"/>
        </w:rPr>
        <w:fldChar w:fldCharType="separate"/>
      </w:r>
      <w:r w:rsidR="0043583C">
        <w:rPr>
          <w:rFonts w:cs="Arial"/>
          <w:b/>
          <w:bCs/>
          <w:noProof/>
          <w:sz w:val="20"/>
          <w:szCs w:val="20"/>
        </w:rPr>
        <w:t>1</w:t>
      </w:r>
      <w:r w:rsidR="007737F9">
        <w:rPr>
          <w:rFonts w:cs="Arial"/>
          <w:b/>
          <w:bCs/>
          <w:sz w:val="20"/>
          <w:szCs w:val="20"/>
        </w:rPr>
        <w:fldChar w:fldCharType="end"/>
      </w:r>
      <w:bookmarkEnd w:id="6"/>
      <w:r w:rsidRPr="00DB7156">
        <w:rPr>
          <w:rFonts w:cs="Arial"/>
          <w:b/>
          <w:bCs/>
          <w:sz w:val="20"/>
          <w:szCs w:val="20"/>
        </w:rPr>
        <w:t xml:space="preserve"> Georgia Power Emissions</w:t>
      </w:r>
    </w:p>
    <w:p w14:paraId="6DE3886D" w14:textId="1B4C652B" w:rsidR="00CC1853" w:rsidRDefault="00CC1853" w:rsidP="00CC1853">
      <w:pPr>
        <w:spacing w:before="120" w:after="0" w:line="240" w:lineRule="auto"/>
      </w:pPr>
      <w:r w:rsidRPr="009C796C">
        <w:t>The Company’s Environmental Compliance Strategy (“ECS”) seeks to continually optimize compliance plans in an increasingly dynamic regulatory environment. The comprehensive annual strategy development process considers existing and potential legislative and regulatory requirements and determines plant-specific compliance options. These options are evaluated based on</w:t>
      </w:r>
      <w:r>
        <w:t xml:space="preserve"> available</w:t>
      </w:r>
      <w:r w:rsidRPr="009C796C">
        <w:t xml:space="preserve"> technology, cost, schedule, impact to plant operations, the environment, and surrounding communities. This iterative approach is designed to provide</w:t>
      </w:r>
      <w:r>
        <w:t xml:space="preserve"> the Company</w:t>
      </w:r>
      <w:r w:rsidRPr="009C796C">
        <w:t xml:space="preserve"> the necessary flexibility to develop and refine compliance plans to </w:t>
      </w:r>
      <w:r>
        <w:t>cost-effectively</w:t>
      </w:r>
      <w:r w:rsidRPr="009C796C">
        <w:t xml:space="preserve"> maintain and operate a diverse generation mix to serve customers.</w:t>
      </w:r>
    </w:p>
    <w:p w14:paraId="45583538" w14:textId="1A13BC63" w:rsidR="00FD1A69" w:rsidRPr="00E52036" w:rsidRDefault="00343B7A" w:rsidP="00C942DB">
      <w:pPr>
        <w:spacing w:before="120" w:after="0" w:line="240" w:lineRule="auto"/>
      </w:pPr>
      <w:r w:rsidRPr="009C796C">
        <w:t xml:space="preserve">As provided in the Georgia Public Service Commission (“PSC” or “Commission”) Rule 515-3-4-.04(1)(c), the Company’s ECS includes a detailed overview of current and proposed environmental regulations, existing environmental law, </w:t>
      </w:r>
      <w:r w:rsidR="00D53995">
        <w:t xml:space="preserve">and </w:t>
      </w:r>
      <w:r w:rsidRPr="009C796C">
        <w:t>potential legislation</w:t>
      </w:r>
      <w:r w:rsidR="00D53995">
        <w:t xml:space="preserve"> applicable to electric generating plants</w:t>
      </w:r>
      <w:r w:rsidRPr="009C796C">
        <w:t xml:space="preserve">, </w:t>
      </w:r>
      <w:r w:rsidR="00D53995">
        <w:t xml:space="preserve">as well as </w:t>
      </w:r>
      <w:r w:rsidRPr="009C796C">
        <w:t xml:space="preserve">a comprehensive </w:t>
      </w:r>
      <w:r w:rsidR="009E7C12">
        <w:t xml:space="preserve">and cost-effective </w:t>
      </w:r>
      <w:r w:rsidRPr="009C796C">
        <w:t>strategy for compliance</w:t>
      </w:r>
      <w:r w:rsidR="00FD1A69" w:rsidRPr="36A37EEC">
        <w:rPr>
          <w:rFonts w:cs="Arial"/>
        </w:rPr>
        <w:t xml:space="preserve">. Georgia Power’s environmental compliance </w:t>
      </w:r>
      <w:r w:rsidR="00FD1A69" w:rsidRPr="36A37EEC">
        <w:rPr>
          <w:rFonts w:cs="Arial"/>
        </w:rPr>
        <w:lastRenderedPageBreak/>
        <w:t xml:space="preserve">strategy process </w:t>
      </w:r>
      <w:r w:rsidR="00FC20B8">
        <w:rPr>
          <w:rFonts w:cs="Arial"/>
        </w:rPr>
        <w:t xml:space="preserve">is designed </w:t>
      </w:r>
      <w:r w:rsidR="00FD1A69" w:rsidRPr="36A37EEC">
        <w:rPr>
          <w:rFonts w:cs="Arial"/>
        </w:rPr>
        <w:t xml:space="preserve">to adapt to changing regulations and assure compliance </w:t>
      </w:r>
      <w:r w:rsidR="00411ADD">
        <w:rPr>
          <w:rFonts w:cs="Arial"/>
        </w:rPr>
        <w:t xml:space="preserve">with </w:t>
      </w:r>
      <w:r w:rsidR="003C7D61">
        <w:rPr>
          <w:rFonts w:cs="Arial"/>
        </w:rPr>
        <w:t xml:space="preserve">robust </w:t>
      </w:r>
      <w:r w:rsidR="00411ADD">
        <w:rPr>
          <w:rFonts w:cs="Arial"/>
        </w:rPr>
        <w:t>control plans that are in the best interest</w:t>
      </w:r>
      <w:r w:rsidR="00451E35">
        <w:rPr>
          <w:rFonts w:cs="Arial"/>
        </w:rPr>
        <w:t>s</w:t>
      </w:r>
      <w:r w:rsidR="00411ADD">
        <w:rPr>
          <w:rFonts w:cs="Arial"/>
        </w:rPr>
        <w:t xml:space="preserve"> of customers</w:t>
      </w:r>
      <w:r w:rsidR="00FD1A69" w:rsidRPr="36A37EEC">
        <w:rPr>
          <w:rFonts w:cs="Arial"/>
        </w:rPr>
        <w:t xml:space="preserve">. </w:t>
      </w:r>
    </w:p>
    <w:p w14:paraId="1B349231" w14:textId="4E0EDACF" w:rsidR="00FD1A69" w:rsidRPr="004F0C64" w:rsidRDefault="00BB136F" w:rsidP="00C942DB">
      <w:pPr>
        <w:pStyle w:val="Heading2"/>
        <w:spacing w:before="120"/>
        <w:rPr>
          <w:b/>
          <w:bCs/>
        </w:rPr>
      </w:pPr>
      <w:bookmarkStart w:id="7" w:name="_Toc130200995"/>
      <w:r w:rsidRPr="004F0C64">
        <w:rPr>
          <w:b/>
          <w:bCs/>
        </w:rPr>
        <w:t>1</w:t>
      </w:r>
      <w:r w:rsidR="00FD1A69" w:rsidRPr="004F0C64">
        <w:rPr>
          <w:b/>
          <w:bCs/>
        </w:rPr>
        <w:t>.</w:t>
      </w:r>
      <w:r w:rsidR="00FD1A69" w:rsidRPr="004F0C64" w:rsidDel="00447DFE">
        <w:rPr>
          <w:b/>
          <w:bCs/>
        </w:rPr>
        <w:t>1</w:t>
      </w:r>
      <w:r w:rsidR="00FD1A69" w:rsidRPr="004F0C64">
        <w:rPr>
          <w:b/>
          <w:bCs/>
        </w:rPr>
        <w:t xml:space="preserve"> Strategy Process</w:t>
      </w:r>
      <w:bookmarkEnd w:id="7"/>
    </w:p>
    <w:p w14:paraId="4AD923F6" w14:textId="32F85AD5" w:rsidR="00FD1A69" w:rsidRPr="00DB7156" w:rsidRDefault="00FD1A69" w:rsidP="00C942DB">
      <w:pPr>
        <w:spacing w:before="120" w:after="0" w:line="240" w:lineRule="auto"/>
        <w:rPr>
          <w:rFonts w:cs="Arial"/>
          <w:szCs w:val="24"/>
        </w:rPr>
      </w:pPr>
      <w:r w:rsidRPr="00DB7156">
        <w:rPr>
          <w:rFonts w:cs="Arial"/>
          <w:szCs w:val="24"/>
        </w:rPr>
        <w:t xml:space="preserve">The process for developing the environmental compliance </w:t>
      </w:r>
      <w:r>
        <w:rPr>
          <w:rFonts w:cs="Arial"/>
          <w:szCs w:val="24"/>
        </w:rPr>
        <w:t>strategy</w:t>
      </w:r>
      <w:r w:rsidRPr="00DB7156">
        <w:rPr>
          <w:rFonts w:cs="Arial"/>
          <w:szCs w:val="24"/>
        </w:rPr>
        <w:t xml:space="preserve"> includes the comprehensive involvement of </w:t>
      </w:r>
      <w:proofErr w:type="gramStart"/>
      <w:r w:rsidRPr="00DB7156">
        <w:rPr>
          <w:rFonts w:cs="Arial"/>
          <w:szCs w:val="24"/>
        </w:rPr>
        <w:t>a number of</w:t>
      </w:r>
      <w:proofErr w:type="gramEnd"/>
      <w:r w:rsidRPr="00DB7156">
        <w:rPr>
          <w:rFonts w:cs="Arial"/>
          <w:szCs w:val="24"/>
        </w:rPr>
        <w:t xml:space="preserve"> organizations within the </w:t>
      </w:r>
      <w:r>
        <w:rPr>
          <w:rFonts w:cs="Arial"/>
          <w:szCs w:val="24"/>
        </w:rPr>
        <w:t>C</w:t>
      </w:r>
      <w:r w:rsidRPr="00DB7156">
        <w:rPr>
          <w:rFonts w:cs="Arial"/>
          <w:szCs w:val="24"/>
        </w:rPr>
        <w:t>ompany</w:t>
      </w:r>
      <w:r>
        <w:rPr>
          <w:rFonts w:cs="Arial"/>
          <w:szCs w:val="24"/>
        </w:rPr>
        <w:t xml:space="preserve">. </w:t>
      </w:r>
      <w:r w:rsidR="009E7C12">
        <w:rPr>
          <w:rFonts w:cs="Arial"/>
          <w:szCs w:val="24"/>
        </w:rPr>
        <w:t>In general, t</w:t>
      </w:r>
      <w:r w:rsidRPr="00DB7156">
        <w:rPr>
          <w:rFonts w:cs="Arial"/>
          <w:szCs w:val="24"/>
        </w:rPr>
        <w:t>his integrated process includes four steps as discussed below.</w:t>
      </w:r>
    </w:p>
    <w:p w14:paraId="0FDDBF31" w14:textId="7999A77A" w:rsidR="00FD1A69" w:rsidRDefault="00FD1A69" w:rsidP="000A253B">
      <w:pPr>
        <w:numPr>
          <w:ilvl w:val="0"/>
          <w:numId w:val="2"/>
        </w:numPr>
        <w:tabs>
          <w:tab w:val="num" w:pos="540"/>
        </w:tabs>
        <w:spacing w:before="120" w:after="0" w:line="240" w:lineRule="auto"/>
        <w:ind w:left="540" w:hanging="540"/>
        <w:rPr>
          <w:rFonts w:cs="Arial"/>
        </w:rPr>
      </w:pPr>
      <w:r w:rsidRPr="7B651508">
        <w:rPr>
          <w:rFonts w:cs="Arial"/>
          <w:b/>
        </w:rPr>
        <w:t>Anticipating and integrating the outcome of new environmental requirements</w:t>
      </w:r>
      <w:r w:rsidRPr="7B651508">
        <w:rPr>
          <w:rFonts w:cs="Arial"/>
        </w:rPr>
        <w:t>. The first step involves gathering all available knowledge about current and potential future local, state, regional, and federal environmental requirements</w:t>
      </w:r>
      <w:r w:rsidR="003C30D0">
        <w:rPr>
          <w:rFonts w:cs="Arial"/>
        </w:rPr>
        <w:t xml:space="preserve">, </w:t>
      </w:r>
      <w:r w:rsidR="00E339AC">
        <w:rPr>
          <w:rFonts w:cs="Arial"/>
        </w:rPr>
        <w:t xml:space="preserve">whether </w:t>
      </w:r>
      <w:r w:rsidR="003C30D0">
        <w:rPr>
          <w:rFonts w:cs="Arial"/>
        </w:rPr>
        <w:t>through legislation, rulemaking</w:t>
      </w:r>
      <w:r w:rsidR="00E339AC">
        <w:rPr>
          <w:rFonts w:cs="Arial"/>
        </w:rPr>
        <w:t>, permitting, or other processes</w:t>
      </w:r>
      <w:r w:rsidRPr="7B651508">
        <w:rPr>
          <w:rFonts w:cs="Arial"/>
        </w:rPr>
        <w:t xml:space="preserve">. Some rules may </w:t>
      </w:r>
      <w:r w:rsidR="007B1F64">
        <w:rPr>
          <w:rFonts w:cs="Arial"/>
        </w:rPr>
        <w:t xml:space="preserve">require participation in </w:t>
      </w:r>
      <w:r w:rsidRPr="7B651508">
        <w:rPr>
          <w:rFonts w:cs="Arial"/>
        </w:rPr>
        <w:t>an allowance-based cap and trade program over a regional or national scale</w:t>
      </w:r>
      <w:r w:rsidR="005F357F">
        <w:rPr>
          <w:rFonts w:cs="Arial"/>
        </w:rPr>
        <w:t>,</w:t>
      </w:r>
      <w:r w:rsidRPr="7B651508">
        <w:rPr>
          <w:rFonts w:cs="Arial"/>
        </w:rPr>
        <w:t xml:space="preserve"> and others may mandate specific requirements on specific plants or assets. For many </w:t>
      </w:r>
      <w:r w:rsidR="007B7CC5">
        <w:rPr>
          <w:rFonts w:cs="Arial"/>
        </w:rPr>
        <w:t>rules</w:t>
      </w:r>
      <w:r w:rsidRPr="7B651508">
        <w:rPr>
          <w:rFonts w:cs="Arial"/>
        </w:rPr>
        <w:t xml:space="preserve">, the possibility that litigation will result in </w:t>
      </w:r>
      <w:r w:rsidR="007B7CC5">
        <w:rPr>
          <w:rFonts w:cs="Arial"/>
        </w:rPr>
        <w:t xml:space="preserve">further </w:t>
      </w:r>
      <w:r w:rsidRPr="7B651508">
        <w:rPr>
          <w:rFonts w:cs="Arial"/>
        </w:rPr>
        <w:t>changes creates additional uncertainty.</w:t>
      </w:r>
    </w:p>
    <w:p w14:paraId="1AA322FD" w14:textId="2B608D7A" w:rsidR="00FD1A69" w:rsidRPr="00DF11FF" w:rsidRDefault="00FD1A69" w:rsidP="000A253B">
      <w:pPr>
        <w:numPr>
          <w:ilvl w:val="0"/>
          <w:numId w:val="2"/>
        </w:numPr>
        <w:tabs>
          <w:tab w:val="num" w:pos="540"/>
        </w:tabs>
        <w:spacing w:before="120" w:after="0" w:line="240" w:lineRule="auto"/>
        <w:ind w:left="540" w:hanging="540"/>
        <w:rPr>
          <w:rFonts w:cs="Arial"/>
        </w:rPr>
      </w:pPr>
      <w:r w:rsidRPr="14517B98">
        <w:rPr>
          <w:rFonts w:cs="Arial"/>
          <w:b/>
        </w:rPr>
        <w:t xml:space="preserve">Developing assumptions on </w:t>
      </w:r>
      <w:r w:rsidRPr="0CDD8AA5">
        <w:rPr>
          <w:rFonts w:cs="Arial"/>
          <w:b/>
          <w:bCs/>
        </w:rPr>
        <w:t>federal</w:t>
      </w:r>
      <w:r w:rsidRPr="14517B98">
        <w:rPr>
          <w:rFonts w:cs="Arial"/>
          <w:b/>
        </w:rPr>
        <w:t xml:space="preserve"> and </w:t>
      </w:r>
      <w:r w:rsidRPr="0CDD8AA5">
        <w:rPr>
          <w:rFonts w:cs="Arial"/>
          <w:b/>
          <w:bCs/>
        </w:rPr>
        <w:t>state</w:t>
      </w:r>
      <w:r w:rsidRPr="14517B98">
        <w:rPr>
          <w:rFonts w:cs="Arial"/>
          <w:b/>
        </w:rPr>
        <w:t xml:space="preserve"> levels.</w:t>
      </w:r>
      <w:r w:rsidRPr="14517B98">
        <w:rPr>
          <w:rFonts w:cs="Arial"/>
        </w:rPr>
        <w:t xml:space="preserve"> </w:t>
      </w:r>
      <w:proofErr w:type="gramStart"/>
      <w:r w:rsidRPr="14517B98">
        <w:rPr>
          <w:rFonts w:cs="Arial"/>
        </w:rPr>
        <w:t>In order to</w:t>
      </w:r>
      <w:proofErr w:type="gramEnd"/>
      <w:r w:rsidRPr="14517B98">
        <w:rPr>
          <w:rFonts w:cs="Arial"/>
        </w:rPr>
        <w:t xml:space="preserve"> anticipate the impacts of </w:t>
      </w:r>
      <w:r w:rsidR="00664F08">
        <w:rPr>
          <w:rFonts w:cs="Arial"/>
        </w:rPr>
        <w:t xml:space="preserve">federal and state environmental </w:t>
      </w:r>
      <w:r w:rsidRPr="14517B98">
        <w:rPr>
          <w:rFonts w:cs="Arial"/>
        </w:rPr>
        <w:t xml:space="preserve">requirements on generating plants, the Company engages in a robust integrated resource planning process.  This process evaluates the economic and reliability impacts of numerous generating resource decisions across a range of scenarios.  The scenarios include a range of assumptions that appropriately consider future regulatory and market uncertainty and risk.  </w:t>
      </w:r>
    </w:p>
    <w:p w14:paraId="08A3DF5E" w14:textId="5EC11833" w:rsidR="00FD1A69" w:rsidRPr="006E20C5" w:rsidRDefault="00FD1A69" w:rsidP="000A253B">
      <w:pPr>
        <w:numPr>
          <w:ilvl w:val="0"/>
          <w:numId w:val="2"/>
        </w:numPr>
        <w:tabs>
          <w:tab w:val="num" w:pos="540"/>
        </w:tabs>
        <w:spacing w:before="120" w:after="0" w:line="240" w:lineRule="auto"/>
        <w:ind w:left="540" w:hanging="540"/>
        <w:rPr>
          <w:rFonts w:cs="Arial"/>
        </w:rPr>
      </w:pPr>
      <w:r w:rsidRPr="006E20C5">
        <w:rPr>
          <w:rFonts w:cs="Arial"/>
          <w:b/>
          <w:bCs/>
          <w:szCs w:val="24"/>
        </w:rPr>
        <w:t>Appl</w:t>
      </w:r>
      <w:r w:rsidR="00EB009B">
        <w:rPr>
          <w:rFonts w:cs="Arial"/>
          <w:b/>
          <w:bCs/>
          <w:szCs w:val="24"/>
        </w:rPr>
        <w:t>ying</w:t>
      </w:r>
      <w:r w:rsidRPr="006E20C5">
        <w:rPr>
          <w:rFonts w:cs="Arial"/>
          <w:b/>
          <w:bCs/>
          <w:szCs w:val="24"/>
        </w:rPr>
        <w:t xml:space="preserve"> generating unit-specific control technology options. </w:t>
      </w:r>
      <w:r w:rsidRPr="006E20C5">
        <w:rPr>
          <w:rFonts w:cs="Arial"/>
          <w:szCs w:val="24"/>
        </w:rPr>
        <w:t xml:space="preserve">The application of control technology </w:t>
      </w:r>
      <w:r w:rsidR="0080066C" w:rsidRPr="006E20C5">
        <w:rPr>
          <w:rFonts w:cs="Arial"/>
          <w:szCs w:val="24"/>
        </w:rPr>
        <w:t>requirements in the process is performed on a unit-by-unit basis</w:t>
      </w:r>
      <w:r w:rsidRPr="006E20C5">
        <w:rPr>
          <w:rFonts w:cs="Arial"/>
          <w:szCs w:val="24"/>
        </w:rPr>
        <w:t>.  In some cases, the plant or unit’s environmental control requirements are mandated, such as a plant-specific limit to meet the National Pollutant Discharge Elimination System (“NPDES”) permit requirements. In other cases, such as the cap-and-trade program for SO</w:t>
      </w:r>
      <w:r w:rsidRPr="006E20C5">
        <w:rPr>
          <w:rFonts w:cs="Arial"/>
          <w:szCs w:val="24"/>
          <w:vertAlign w:val="subscript"/>
        </w:rPr>
        <w:t>2</w:t>
      </w:r>
      <w:r w:rsidRPr="006E20C5">
        <w:rPr>
          <w:rFonts w:cs="Arial"/>
          <w:szCs w:val="24"/>
        </w:rPr>
        <w:t xml:space="preserve"> established to address acid rain, utilities can choose the most cost-effective </w:t>
      </w:r>
      <w:r w:rsidR="005773DB">
        <w:rPr>
          <w:rFonts w:cs="Arial"/>
          <w:szCs w:val="24"/>
        </w:rPr>
        <w:t xml:space="preserve">of </w:t>
      </w:r>
      <w:r w:rsidR="00CB36CD">
        <w:rPr>
          <w:rFonts w:cs="Arial"/>
          <w:szCs w:val="24"/>
        </w:rPr>
        <w:t xml:space="preserve">multiple </w:t>
      </w:r>
      <w:r w:rsidRPr="006E20C5">
        <w:rPr>
          <w:rFonts w:cs="Arial"/>
          <w:szCs w:val="24"/>
        </w:rPr>
        <w:t>option</w:t>
      </w:r>
      <w:r w:rsidR="00CB36CD">
        <w:rPr>
          <w:rFonts w:cs="Arial"/>
          <w:szCs w:val="24"/>
        </w:rPr>
        <w:t>s</w:t>
      </w:r>
      <w:r w:rsidRPr="006E20C5">
        <w:rPr>
          <w:rFonts w:cs="Arial"/>
          <w:szCs w:val="24"/>
        </w:rPr>
        <w:t xml:space="preserve">, </w:t>
      </w:r>
      <w:r w:rsidR="00CB36CD">
        <w:rPr>
          <w:rFonts w:cs="Arial"/>
          <w:szCs w:val="24"/>
        </w:rPr>
        <w:t xml:space="preserve">such as </w:t>
      </w:r>
      <w:r w:rsidRPr="006E20C5">
        <w:rPr>
          <w:rFonts w:cs="Arial"/>
          <w:szCs w:val="24"/>
        </w:rPr>
        <w:t xml:space="preserve">fuel switching, applying a control technology, or purchasing emission allowances. </w:t>
      </w:r>
      <w:bookmarkStart w:id="8" w:name="_Hlk529265734"/>
      <w:r w:rsidR="00671E4A" w:rsidRPr="005421B9">
        <w:rPr>
          <w:rFonts w:cs="Arial"/>
          <w:szCs w:val="24"/>
        </w:rPr>
        <w:t xml:space="preserve">As discussed in </w:t>
      </w:r>
      <w:hyperlink w:anchor="_ECS_-_Appendix" w:history="1">
        <w:r w:rsidR="00671E4A" w:rsidRPr="001A45F7">
          <w:rPr>
            <w:rStyle w:val="Hyperlink"/>
            <w:rFonts w:asciiTheme="minorHAnsi" w:hAnsiTheme="minorHAnsi" w:cs="Arial"/>
            <w:color w:val="auto"/>
            <w:szCs w:val="24"/>
            <w:u w:val="none"/>
          </w:rPr>
          <w:t xml:space="preserve">Appendix </w:t>
        </w:r>
        <w:r w:rsidR="0016758E" w:rsidRPr="001A45F7">
          <w:rPr>
            <w:rStyle w:val="Hyperlink"/>
            <w:rFonts w:asciiTheme="minorHAnsi" w:hAnsiTheme="minorHAnsi" w:cs="Arial"/>
            <w:color w:val="auto"/>
            <w:szCs w:val="24"/>
            <w:u w:val="none"/>
          </w:rPr>
          <w:t>C</w:t>
        </w:r>
      </w:hyperlink>
      <w:r w:rsidR="00671E4A" w:rsidRPr="006E20C5">
        <w:rPr>
          <w:rFonts w:cs="Arial"/>
          <w:szCs w:val="24"/>
        </w:rPr>
        <w:t xml:space="preserve">, </w:t>
      </w:r>
      <w:r w:rsidR="00787ABD" w:rsidRPr="00DB7156">
        <w:t xml:space="preserve">Research and </w:t>
      </w:r>
      <w:r w:rsidR="00787ABD">
        <w:t>D</w:t>
      </w:r>
      <w:r w:rsidR="00787ABD" w:rsidRPr="00DB7156">
        <w:t xml:space="preserve">evelopment </w:t>
      </w:r>
      <w:r w:rsidR="00787ABD">
        <w:t xml:space="preserve">(“R&amp;D”) continues to be </w:t>
      </w:r>
      <w:r w:rsidR="00787ABD" w:rsidRPr="00DB7156">
        <w:t xml:space="preserve">an integral part of the overall Georgia Power environmental strategy and compliance plan. Through research, </w:t>
      </w:r>
      <w:r w:rsidR="00787ABD">
        <w:t xml:space="preserve">development, and demonstration, </w:t>
      </w:r>
      <w:r w:rsidR="00787ABD" w:rsidRPr="00DB7156">
        <w:t xml:space="preserve">technologies are evaluated, and selected for possible implementation to meet compliance with </w:t>
      </w:r>
      <w:r w:rsidR="00CB36CD">
        <w:t>applicable environmental</w:t>
      </w:r>
      <w:r w:rsidR="00787ABD" w:rsidRPr="00DB7156">
        <w:t xml:space="preserve"> requirements. Technology-related decisions are made based on compliance alternatives, technical review (often following actual testing), schedules, equipmen</w:t>
      </w:r>
      <w:r w:rsidR="00E80820">
        <w:t xml:space="preserve">t </w:t>
      </w:r>
      <w:r w:rsidR="00787ABD" w:rsidRPr="00DB7156">
        <w:t xml:space="preserve">vendor price quotes, total costs over the useful life, specific unit issues, and performance guarantees. </w:t>
      </w:r>
      <w:r w:rsidR="00671E4A" w:rsidRPr="006E20C5">
        <w:rPr>
          <w:rFonts w:cs="Arial"/>
          <w:szCs w:val="24"/>
        </w:rPr>
        <w:t>The process reviews the cost, control effectiveness, regulatory timing requirements, system reliability impacts, and operational considerations of the applicable options in developing a unit-specific decision on the application of environmental control technologies.</w:t>
      </w:r>
      <w:r w:rsidR="006E20C5">
        <w:rPr>
          <w:rFonts w:cs="Arial"/>
          <w:szCs w:val="24"/>
        </w:rPr>
        <w:t xml:space="preserve"> </w:t>
      </w:r>
    </w:p>
    <w:p w14:paraId="7438D9AB" w14:textId="7FC4104F" w:rsidR="00663FB4" w:rsidRPr="000B3259" w:rsidRDefault="00663FB4" w:rsidP="00663FB4">
      <w:pPr>
        <w:numPr>
          <w:ilvl w:val="0"/>
          <w:numId w:val="2"/>
        </w:numPr>
        <w:tabs>
          <w:tab w:val="num" w:pos="540"/>
        </w:tabs>
        <w:spacing w:before="120" w:after="0" w:line="240" w:lineRule="auto"/>
        <w:ind w:left="540" w:hanging="540"/>
        <w:rPr>
          <w:rFonts w:cs="Arial"/>
          <w:b/>
        </w:rPr>
      </w:pPr>
      <w:r w:rsidRPr="12E428E8">
        <w:rPr>
          <w:rFonts w:cs="Arial"/>
          <w:b/>
        </w:rPr>
        <w:t xml:space="preserve">Determining and evaluating the financial requirements of the strategy. </w:t>
      </w:r>
      <w:r w:rsidRPr="12E428E8">
        <w:rPr>
          <w:rFonts w:cs="Arial"/>
        </w:rPr>
        <w:t xml:space="preserve">The final step is to </w:t>
      </w:r>
      <w:r>
        <w:rPr>
          <w:rFonts w:cs="Arial"/>
        </w:rPr>
        <w:t xml:space="preserve">determine the cost and financial impacts of the </w:t>
      </w:r>
      <w:r w:rsidRPr="12E428E8">
        <w:rPr>
          <w:rFonts w:cs="Arial"/>
        </w:rPr>
        <w:t>environmental compliance strategy.</w:t>
      </w:r>
      <w:r>
        <w:rPr>
          <w:rFonts w:cs="Arial"/>
        </w:rPr>
        <w:t xml:space="preserve"> </w:t>
      </w:r>
      <w:r w:rsidRPr="12E428E8">
        <w:rPr>
          <w:rFonts w:cs="Arial"/>
        </w:rPr>
        <w:t xml:space="preserve">If environmental controls are mandated for a specific unit, then </w:t>
      </w:r>
      <w:r>
        <w:rPr>
          <w:rFonts w:cs="Arial"/>
        </w:rPr>
        <w:t xml:space="preserve">both </w:t>
      </w:r>
      <w:r w:rsidRPr="12E428E8">
        <w:rPr>
          <w:rFonts w:cs="Arial"/>
        </w:rPr>
        <w:t xml:space="preserve">the economic </w:t>
      </w:r>
      <w:r>
        <w:rPr>
          <w:rFonts w:cs="Arial"/>
        </w:rPr>
        <w:t xml:space="preserve">and system reliability </w:t>
      </w:r>
      <w:r w:rsidRPr="12E428E8">
        <w:rPr>
          <w:rFonts w:cs="Arial"/>
        </w:rPr>
        <w:t>value of the generating asset</w:t>
      </w:r>
      <w:r>
        <w:rPr>
          <w:rFonts w:cs="Arial"/>
        </w:rPr>
        <w:t>’s continued operation</w:t>
      </w:r>
      <w:r w:rsidRPr="12E428E8">
        <w:rPr>
          <w:rFonts w:cs="Arial"/>
        </w:rPr>
        <w:t xml:space="preserve"> must be considered in the Company’s integrated </w:t>
      </w:r>
      <w:r w:rsidR="00C9368A">
        <w:rPr>
          <w:rFonts w:cs="Arial"/>
        </w:rPr>
        <w:t xml:space="preserve">resource </w:t>
      </w:r>
      <w:r w:rsidRPr="12E428E8">
        <w:rPr>
          <w:rFonts w:cs="Arial"/>
        </w:rPr>
        <w:t xml:space="preserve">planning process </w:t>
      </w:r>
      <w:r>
        <w:rPr>
          <w:rFonts w:cs="Arial"/>
        </w:rPr>
        <w:t>with</w:t>
      </w:r>
      <w:r w:rsidRPr="12E428E8">
        <w:rPr>
          <w:rFonts w:cs="Arial"/>
        </w:rPr>
        <w:t xml:space="preserve"> application of the </w:t>
      </w:r>
      <w:r>
        <w:rPr>
          <w:rFonts w:cs="Arial"/>
        </w:rPr>
        <w:t xml:space="preserve">cost of </w:t>
      </w:r>
      <w:r w:rsidR="00C57E3D">
        <w:rPr>
          <w:rFonts w:cs="Arial"/>
        </w:rPr>
        <w:t xml:space="preserve">the </w:t>
      </w:r>
      <w:r>
        <w:rPr>
          <w:rFonts w:cs="Arial"/>
        </w:rPr>
        <w:t xml:space="preserve">control </w:t>
      </w:r>
      <w:r w:rsidRPr="12E428E8">
        <w:rPr>
          <w:rFonts w:cs="Arial"/>
        </w:rPr>
        <w:t>technology.</w:t>
      </w:r>
      <w:r>
        <w:rPr>
          <w:rFonts w:cs="Arial"/>
        </w:rPr>
        <w:t xml:space="preserve"> </w:t>
      </w:r>
      <w:r w:rsidRPr="14517B98">
        <w:rPr>
          <w:rFonts w:cs="Arial"/>
        </w:rPr>
        <w:t>The Company makes a</w:t>
      </w:r>
      <w:r w:rsidRPr="14517B98" w:rsidDel="00547416">
        <w:rPr>
          <w:rFonts w:cs="Arial"/>
        </w:rPr>
        <w:t xml:space="preserve"> </w:t>
      </w:r>
      <w:r w:rsidRPr="14517B98">
        <w:rPr>
          <w:rFonts w:cs="Arial"/>
        </w:rPr>
        <w:t>triennial filing with the G</w:t>
      </w:r>
      <w:r>
        <w:rPr>
          <w:rFonts w:cs="Arial"/>
        </w:rPr>
        <w:t xml:space="preserve">eorgia </w:t>
      </w:r>
      <w:r w:rsidRPr="14517B98">
        <w:rPr>
          <w:rFonts w:cs="Arial"/>
        </w:rPr>
        <w:t>PSC seeking approval of the IRP, which includes economic evaluations of generating plants that consider load growth, compliance costs, and other economic pressures.</w:t>
      </w:r>
    </w:p>
    <w:bookmarkEnd w:id="8"/>
    <w:p w14:paraId="4B940CD0" w14:textId="03B34701" w:rsidR="00FD1A69" w:rsidRPr="003A016E" w:rsidRDefault="00FD1A69" w:rsidP="00C942DB">
      <w:pPr>
        <w:spacing w:before="120" w:after="0" w:line="240" w:lineRule="auto"/>
        <w:rPr>
          <w:rFonts w:cs="Arial"/>
          <w:szCs w:val="24"/>
        </w:rPr>
      </w:pPr>
      <w:r w:rsidRPr="00DB7156">
        <w:rPr>
          <w:rFonts w:cs="Arial"/>
          <w:szCs w:val="24"/>
        </w:rPr>
        <w:t xml:space="preserve">One major goal of the environmental </w:t>
      </w:r>
      <w:r>
        <w:rPr>
          <w:rFonts w:cs="Arial"/>
          <w:szCs w:val="24"/>
        </w:rPr>
        <w:t>compliance</w:t>
      </w:r>
      <w:r w:rsidRPr="00DB7156">
        <w:rPr>
          <w:rFonts w:cs="Arial"/>
          <w:szCs w:val="24"/>
        </w:rPr>
        <w:t xml:space="preserve"> strategy process is to maintain flexibility in compliance options and operations across the generating fleet. </w:t>
      </w:r>
      <w:r w:rsidRPr="12E428E8">
        <w:rPr>
          <w:rFonts w:cs="Arial"/>
        </w:rPr>
        <w:t xml:space="preserve">A key advantage of this process is that it allows </w:t>
      </w:r>
      <w:r w:rsidRPr="12E428E8">
        <w:rPr>
          <w:rFonts w:cs="Arial"/>
        </w:rPr>
        <w:lastRenderedPageBreak/>
        <w:t>decision</w:t>
      </w:r>
      <w:r w:rsidR="004E1C41">
        <w:rPr>
          <w:rFonts w:cs="Arial"/>
        </w:rPr>
        <w:t>-</w:t>
      </w:r>
      <w:r w:rsidRPr="12E428E8">
        <w:rPr>
          <w:rFonts w:cs="Arial"/>
        </w:rPr>
        <w:t xml:space="preserve">making on an incremental basis.  While the strategy includes environmental control plans for the next 10 years, final decisions on specific projects are not made until the Company has sufficient information to complete </w:t>
      </w:r>
      <w:r w:rsidR="004E1C41">
        <w:rPr>
          <w:rFonts w:cs="Arial"/>
        </w:rPr>
        <w:t xml:space="preserve">the necessary </w:t>
      </w:r>
      <w:r w:rsidRPr="12E428E8">
        <w:rPr>
          <w:rFonts w:cs="Arial"/>
        </w:rPr>
        <w:t>technical and economic analys</w:t>
      </w:r>
      <w:r w:rsidR="00057919">
        <w:rPr>
          <w:rFonts w:cs="Arial"/>
        </w:rPr>
        <w:t>e</w:t>
      </w:r>
      <w:r w:rsidRPr="12E428E8">
        <w:rPr>
          <w:rFonts w:cs="Arial"/>
        </w:rPr>
        <w:t xml:space="preserve">s. This process </w:t>
      </w:r>
      <w:r w:rsidR="00D425F5">
        <w:rPr>
          <w:rFonts w:cs="Arial"/>
        </w:rPr>
        <w:t>is</w:t>
      </w:r>
      <w:r w:rsidRPr="12E428E8">
        <w:rPr>
          <w:rFonts w:cs="Arial"/>
        </w:rPr>
        <w:t xml:space="preserve"> a balanced approach to providing cost-effective solutions to environmental regulations </w:t>
      </w:r>
      <w:r w:rsidR="00A15562">
        <w:rPr>
          <w:rFonts w:cs="Arial"/>
        </w:rPr>
        <w:t xml:space="preserve">on behalf of </w:t>
      </w:r>
      <w:r w:rsidRPr="12E428E8">
        <w:rPr>
          <w:rFonts w:cs="Arial"/>
        </w:rPr>
        <w:t>customers.</w:t>
      </w:r>
    </w:p>
    <w:p w14:paraId="1D34AEE9" w14:textId="0DCC3190" w:rsidR="00FD1A69" w:rsidRPr="00A00119" w:rsidRDefault="00FD1A69" w:rsidP="00C942DB">
      <w:pPr>
        <w:spacing w:before="120" w:after="0" w:line="240" w:lineRule="auto"/>
        <w:rPr>
          <w:rFonts w:cs="Arial"/>
          <w:szCs w:val="24"/>
        </w:rPr>
      </w:pPr>
      <w:r w:rsidRPr="00DB7156">
        <w:rPr>
          <w:rFonts w:cs="Arial"/>
          <w:szCs w:val="24"/>
        </w:rPr>
        <w:t xml:space="preserve">The uncertainty surrounding the legislative and regulatory environment reinforces the need for a flexible, robust compliance </w:t>
      </w:r>
      <w:r>
        <w:rPr>
          <w:rFonts w:cs="Arial"/>
          <w:szCs w:val="24"/>
        </w:rPr>
        <w:t>strategy</w:t>
      </w:r>
      <w:r w:rsidRPr="00DB7156">
        <w:rPr>
          <w:rFonts w:cs="Arial"/>
          <w:szCs w:val="24"/>
        </w:rPr>
        <w:t xml:space="preserve">. Accordingly, the </w:t>
      </w:r>
      <w:r>
        <w:rPr>
          <w:rFonts w:cs="Arial"/>
          <w:szCs w:val="24"/>
        </w:rPr>
        <w:t>strategy</w:t>
      </w:r>
      <w:r w:rsidRPr="00DB7156">
        <w:rPr>
          <w:rFonts w:cs="Arial"/>
          <w:szCs w:val="24"/>
        </w:rPr>
        <w:t xml:space="preserve"> balances the need to make decisions on certain timelines</w:t>
      </w:r>
      <w:r w:rsidR="00C916AF">
        <w:rPr>
          <w:rFonts w:cs="Arial"/>
          <w:szCs w:val="24"/>
        </w:rPr>
        <w:t xml:space="preserve">, considering factors </w:t>
      </w:r>
      <w:r w:rsidRPr="00DB7156">
        <w:rPr>
          <w:rFonts w:cs="Arial"/>
          <w:szCs w:val="24"/>
        </w:rPr>
        <w:t xml:space="preserve">such as </w:t>
      </w:r>
      <w:r w:rsidR="00C916AF">
        <w:rPr>
          <w:rFonts w:cs="Arial"/>
          <w:szCs w:val="24"/>
        </w:rPr>
        <w:t xml:space="preserve">the lead time required for </w:t>
      </w:r>
      <w:r w:rsidRPr="00DB7156">
        <w:rPr>
          <w:rFonts w:cs="Arial"/>
          <w:szCs w:val="24"/>
        </w:rPr>
        <w:t>fuel and equipment purchases</w:t>
      </w:r>
      <w:r w:rsidR="004E4D78">
        <w:rPr>
          <w:rFonts w:cs="Arial"/>
          <w:szCs w:val="24"/>
        </w:rPr>
        <w:t>,</w:t>
      </w:r>
      <w:r w:rsidRPr="00DB7156">
        <w:rPr>
          <w:rFonts w:cs="Arial"/>
          <w:szCs w:val="24"/>
        </w:rPr>
        <w:t xml:space="preserve"> with the need for more information relative to regulatory</w:t>
      </w:r>
      <w:r w:rsidRPr="3C983EF4">
        <w:rPr>
          <w:rFonts w:cs="Arial"/>
          <w:szCs w:val="24"/>
        </w:rPr>
        <w:t>, reliability,</w:t>
      </w:r>
      <w:r w:rsidRPr="00DB7156">
        <w:rPr>
          <w:rFonts w:cs="Arial"/>
          <w:szCs w:val="24"/>
        </w:rPr>
        <w:t xml:space="preserve"> and economic drivers. The analysis will be updated to determine the most cost-effective compliance decisions while maintaining future flexibility </w:t>
      </w:r>
      <w:r w:rsidRPr="3C983EF4">
        <w:rPr>
          <w:rFonts w:cs="Arial"/>
          <w:szCs w:val="24"/>
        </w:rPr>
        <w:t>and preserving system reliability</w:t>
      </w:r>
      <w:r w:rsidRPr="3C983EF4" w:rsidDel="08D3D514">
        <w:rPr>
          <w:rFonts w:cs="Arial"/>
          <w:szCs w:val="24"/>
        </w:rPr>
        <w:t xml:space="preserve"> </w:t>
      </w:r>
      <w:r w:rsidRPr="3C983EF4">
        <w:rPr>
          <w:rFonts w:cs="Arial"/>
          <w:szCs w:val="24"/>
        </w:rPr>
        <w:t>in the strategy.</w:t>
      </w:r>
      <w:r w:rsidRPr="00DB7156">
        <w:rPr>
          <w:rFonts w:cs="Arial"/>
          <w:szCs w:val="24"/>
        </w:rPr>
        <w:t xml:space="preserve"> </w:t>
      </w:r>
    </w:p>
    <w:p w14:paraId="1B3F77F1" w14:textId="5398DDCD" w:rsidR="003D6FAD" w:rsidRPr="004F0C64" w:rsidRDefault="00BB136F" w:rsidP="00C942DB">
      <w:pPr>
        <w:pStyle w:val="Heading2"/>
        <w:spacing w:before="120"/>
        <w:rPr>
          <w:b/>
          <w:bCs/>
        </w:rPr>
      </w:pPr>
      <w:bookmarkStart w:id="9" w:name="_Toc94197864"/>
      <w:bookmarkStart w:id="10" w:name="_Toc130200996"/>
      <w:r w:rsidRPr="004F0C64">
        <w:rPr>
          <w:b/>
          <w:bCs/>
        </w:rPr>
        <w:t>1</w:t>
      </w:r>
      <w:r w:rsidR="003D6FAD" w:rsidRPr="004F0C64">
        <w:rPr>
          <w:b/>
          <w:bCs/>
        </w:rPr>
        <w:t>.2 Strategy Assumptions</w:t>
      </w:r>
      <w:bookmarkEnd w:id="9"/>
      <w:bookmarkEnd w:id="10"/>
    </w:p>
    <w:p w14:paraId="7A296A6F" w14:textId="00555FE9" w:rsidR="00DD126D" w:rsidRPr="00AF3FFA" w:rsidRDefault="008D23D4" w:rsidP="00DD126D">
      <w:pPr>
        <w:rPr>
          <w:rFonts w:cstheme="minorHAnsi"/>
          <w:b/>
          <w:bCs/>
        </w:rPr>
      </w:pPr>
      <w:r>
        <w:t>As a result of the ECS process, t</w:t>
      </w:r>
      <w:r w:rsidR="00FD428D" w:rsidRPr="009C796C">
        <w:t xml:space="preserve">he ten-year outlook for environmental compliance strategy projects </w:t>
      </w:r>
      <w:r w:rsidR="00C266CB">
        <w:t>is</w:t>
      </w:r>
      <w:r w:rsidR="00C266CB" w:rsidRPr="009C796C">
        <w:t xml:space="preserve"> </w:t>
      </w:r>
      <w:r w:rsidR="00BB136F">
        <w:t>summarized</w:t>
      </w:r>
      <w:r w:rsidR="00FD428D" w:rsidRPr="009C796C">
        <w:t xml:space="preserve"> </w:t>
      </w:r>
      <w:r w:rsidR="002444D1">
        <w:t xml:space="preserve">in </w:t>
      </w:r>
      <w:r w:rsidR="00AF3FFA">
        <w:rPr>
          <w:b/>
          <w:bCs/>
        </w:rPr>
        <w:t xml:space="preserve">Figure 2. </w:t>
      </w:r>
      <w:r w:rsidR="00BB136F">
        <w:t>Details on the compliance requirements that drove this strategy</w:t>
      </w:r>
      <w:r w:rsidR="008B7540">
        <w:t xml:space="preserve"> are provided in Section 2</w:t>
      </w:r>
      <w:r w:rsidR="00C73D05">
        <w:t xml:space="preserve">, along with </w:t>
      </w:r>
      <w:r w:rsidR="009F61C7">
        <w:t xml:space="preserve">information on </w:t>
      </w:r>
      <w:r w:rsidR="00C73D05">
        <w:t>existing controls that continue to operate to maintain compliance</w:t>
      </w:r>
      <w:r w:rsidR="008B7540">
        <w:t>.</w:t>
      </w:r>
      <w:r w:rsidR="00DD126D">
        <w:t xml:space="preserve"> </w:t>
      </w:r>
      <w:r w:rsidR="001D6050">
        <w:t xml:space="preserve"> </w:t>
      </w:r>
      <w:r w:rsidR="00164A7C">
        <w:t>A</w:t>
      </w:r>
      <w:r w:rsidR="001D6050">
        <w:t>sh pond and landfill closure timeframes are summarized</w:t>
      </w:r>
      <w:r w:rsidR="001D6050" w:rsidRPr="006E0F22">
        <w:t xml:space="preserve"> and in</w:t>
      </w:r>
      <w:r w:rsidR="00AF3FFA">
        <w:t xml:space="preserve"> </w:t>
      </w:r>
      <w:r w:rsidR="00AF3FFA" w:rsidRPr="00AF3FFA">
        <w:rPr>
          <w:b/>
          <w:bCs/>
        </w:rPr>
        <w:t>Table 1</w:t>
      </w:r>
      <w:r w:rsidR="00AF3FFA">
        <w:t xml:space="preserve"> and </w:t>
      </w:r>
      <w:r w:rsidR="00AF3FFA" w:rsidRPr="00AF3FFA">
        <w:rPr>
          <w:b/>
          <w:bCs/>
        </w:rPr>
        <w:t>Table 2</w:t>
      </w:r>
      <w:r w:rsidR="001D6050" w:rsidRPr="006E0F22">
        <w:t>.</w:t>
      </w:r>
      <w:r w:rsidR="001D6050">
        <w:t xml:space="preserve"> </w:t>
      </w:r>
      <w:r w:rsidR="00DD126D">
        <w:t>E</w:t>
      </w:r>
      <w:r w:rsidR="00DD126D" w:rsidRPr="003D640E">
        <w:t xml:space="preserve">stimated closure construction timeframes vary by location and are site-specific. </w:t>
      </w:r>
      <w:r w:rsidR="00DD126D">
        <w:t xml:space="preserve">Estimated ash pond timeframes </w:t>
      </w:r>
      <w:r w:rsidR="00DD126D" w:rsidRPr="003D640E">
        <w:t xml:space="preserve">can be influenced by numerous factors, including, but not limited to, state and federal regulatory actions and rule amendments, legislative action, necessary scope changes, weather, final ash quantities, beneficial use market trends, contractor productivity, and other market and external factors. </w:t>
      </w:r>
      <w:r w:rsidR="00DD126D">
        <w:t>Factors that affect landfill estimated timeframes</w:t>
      </w:r>
      <w:r w:rsidR="00F85804">
        <w:t xml:space="preserve"> in Table 2</w:t>
      </w:r>
      <w:r w:rsidR="00DD126D">
        <w:t xml:space="preserve"> include </w:t>
      </w:r>
      <w:r w:rsidR="00DD126D" w:rsidRPr="003D640E">
        <w:t>status of plant operations, unit capacity factors, available landfill capacity, and whether the landfill is designated to support ash pond closure activities. Landfill closure dates at coal generating plants are significantly influenced by generation output and how much operational ash is sold for beneficial use and not disposed of in the onsite landfill.</w:t>
      </w:r>
      <w:r w:rsidR="00DD126D">
        <w:t xml:space="preserve"> </w:t>
      </w:r>
      <w:r w:rsidR="00DD126D" w:rsidRPr="003D640E">
        <w:t>Estimated closure completion timelines are indicative of aggressive targets and future risks or opportunities could cause these estimated timeframes to shift.</w:t>
      </w:r>
      <w:r w:rsidR="00DD126D">
        <w:t xml:space="preserve"> </w:t>
      </w:r>
      <w:r w:rsidR="00DD126D" w:rsidRPr="003D640E">
        <w:t xml:space="preserve">The Company will continue to update project schedules as each project progresses. </w:t>
      </w:r>
    </w:p>
    <w:p w14:paraId="48DA1414" w14:textId="24E93C41" w:rsidR="00C14387" w:rsidRDefault="00331AF3" w:rsidP="00331AF3">
      <w:pPr>
        <w:spacing w:after="0" w:line="240" w:lineRule="auto"/>
        <w:rPr>
          <w:rFonts w:cstheme="minorHAnsi"/>
          <w:b/>
          <w:bCs/>
          <w:sz w:val="20"/>
          <w:szCs w:val="20"/>
        </w:rPr>
      </w:pPr>
      <w:bookmarkStart w:id="11" w:name="_Ref129870988"/>
      <w:r w:rsidRPr="008C0486">
        <w:rPr>
          <w:noProof/>
        </w:rPr>
        <w:drawing>
          <wp:anchor distT="0" distB="0" distL="114300" distR="114300" simplePos="0" relativeHeight="251658240" behindDoc="0" locked="0" layoutInCell="1" allowOverlap="1" wp14:anchorId="6E2891A9" wp14:editId="58FAB471">
            <wp:simplePos x="0" y="0"/>
            <wp:positionH relativeFrom="column">
              <wp:posOffset>-153281</wp:posOffset>
            </wp:positionH>
            <wp:positionV relativeFrom="paragraph">
              <wp:posOffset>210563</wp:posOffset>
            </wp:positionV>
            <wp:extent cx="6239510" cy="2298700"/>
            <wp:effectExtent l="0" t="0" r="8890" b="6350"/>
            <wp:wrapTopAndBottom/>
            <wp:docPr id="616770751" name="Picture 616770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39510" cy="229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5AF3BB" w14:textId="74ADF5DF" w:rsidR="005A02A7" w:rsidRDefault="00E8675E" w:rsidP="00C14387">
      <w:pPr>
        <w:spacing w:after="0" w:line="240" w:lineRule="auto"/>
        <w:jc w:val="center"/>
        <w:rPr>
          <w:rFonts w:cstheme="minorHAnsi"/>
          <w:b/>
          <w:bCs/>
          <w:sz w:val="20"/>
          <w:szCs w:val="20"/>
        </w:rPr>
      </w:pPr>
      <w:r w:rsidRPr="00E3123C">
        <w:rPr>
          <w:rFonts w:cstheme="minorHAnsi"/>
          <w:b/>
          <w:bCs/>
          <w:sz w:val="20"/>
          <w:szCs w:val="20"/>
        </w:rPr>
        <w:t xml:space="preserve">Figure </w:t>
      </w:r>
      <w:r w:rsidR="00A735BD" w:rsidRPr="00E3123C">
        <w:rPr>
          <w:rFonts w:cstheme="minorHAnsi"/>
          <w:b/>
          <w:bCs/>
          <w:sz w:val="20"/>
          <w:szCs w:val="20"/>
        </w:rPr>
        <w:fldChar w:fldCharType="begin"/>
      </w:r>
      <w:r w:rsidR="00A735BD" w:rsidRPr="00E3123C">
        <w:rPr>
          <w:rFonts w:cstheme="minorHAnsi"/>
          <w:b/>
          <w:bCs/>
          <w:sz w:val="20"/>
          <w:szCs w:val="20"/>
        </w:rPr>
        <w:instrText xml:space="preserve"> SEQ Figure \* ARABIC \* MERGEFORMAT </w:instrText>
      </w:r>
      <w:r w:rsidR="00A735BD" w:rsidRPr="00E3123C">
        <w:rPr>
          <w:rFonts w:cstheme="minorHAnsi"/>
          <w:b/>
          <w:bCs/>
          <w:sz w:val="20"/>
          <w:szCs w:val="20"/>
        </w:rPr>
        <w:fldChar w:fldCharType="separate"/>
      </w:r>
      <w:r w:rsidR="0043583C">
        <w:rPr>
          <w:rFonts w:cstheme="minorHAnsi"/>
          <w:b/>
          <w:bCs/>
          <w:noProof/>
          <w:sz w:val="20"/>
          <w:szCs w:val="20"/>
        </w:rPr>
        <w:t>2</w:t>
      </w:r>
      <w:r w:rsidR="00A735BD" w:rsidRPr="00E3123C">
        <w:rPr>
          <w:rFonts w:cstheme="minorHAnsi"/>
          <w:b/>
          <w:bCs/>
          <w:sz w:val="20"/>
          <w:szCs w:val="20"/>
        </w:rPr>
        <w:fldChar w:fldCharType="end"/>
      </w:r>
      <w:bookmarkEnd w:id="11"/>
      <w:r w:rsidR="00CB069D">
        <w:rPr>
          <w:rFonts w:cstheme="minorHAnsi"/>
          <w:b/>
          <w:bCs/>
          <w:sz w:val="20"/>
          <w:szCs w:val="20"/>
        </w:rPr>
        <w:t>.</w:t>
      </w:r>
      <w:r w:rsidRPr="00E3123C">
        <w:rPr>
          <w:rFonts w:cstheme="minorHAnsi"/>
          <w:b/>
          <w:bCs/>
          <w:sz w:val="20"/>
          <w:szCs w:val="20"/>
        </w:rPr>
        <w:t xml:space="preserve"> Georgia Power 10-year Environmental Compliance Strategy Schedule</w:t>
      </w:r>
      <w:bookmarkStart w:id="12" w:name="_Ref130484152"/>
    </w:p>
    <w:p w14:paraId="04143184" w14:textId="77777777" w:rsidR="005A02A7" w:rsidRDefault="005A02A7" w:rsidP="00B671F2">
      <w:pPr>
        <w:spacing w:after="0" w:line="240" w:lineRule="auto"/>
        <w:jc w:val="center"/>
        <w:rPr>
          <w:rFonts w:cstheme="minorHAnsi"/>
          <w:b/>
          <w:bCs/>
          <w:sz w:val="20"/>
          <w:szCs w:val="20"/>
        </w:rPr>
      </w:pPr>
    </w:p>
    <w:p w14:paraId="370BEEF1" w14:textId="77777777" w:rsidR="00341A80" w:rsidRDefault="00341A80" w:rsidP="00B671F2">
      <w:pPr>
        <w:spacing w:after="0" w:line="240" w:lineRule="auto"/>
        <w:jc w:val="center"/>
        <w:rPr>
          <w:rFonts w:cstheme="minorHAnsi"/>
          <w:b/>
          <w:bCs/>
          <w:sz w:val="20"/>
          <w:szCs w:val="20"/>
        </w:rPr>
      </w:pPr>
    </w:p>
    <w:p w14:paraId="20DB6EDF" w14:textId="76B7D526" w:rsidR="00F73D6D" w:rsidRDefault="006E28FB" w:rsidP="009E28B8">
      <w:pPr>
        <w:spacing w:after="0" w:line="276" w:lineRule="auto"/>
        <w:jc w:val="center"/>
        <w:rPr>
          <w:rFonts w:cstheme="minorHAnsi"/>
          <w:b/>
          <w:bCs/>
          <w:sz w:val="20"/>
          <w:szCs w:val="20"/>
        </w:rPr>
      </w:pPr>
      <w:r>
        <w:rPr>
          <w:rFonts w:cstheme="minorHAnsi"/>
          <w:b/>
          <w:bCs/>
          <w:sz w:val="20"/>
          <w:szCs w:val="20"/>
        </w:rPr>
        <w:br w:type="page"/>
      </w:r>
      <w:r w:rsidR="00F73D6D" w:rsidRPr="00F73D6D">
        <w:rPr>
          <w:rFonts w:cstheme="minorHAnsi"/>
          <w:b/>
          <w:bCs/>
          <w:sz w:val="20"/>
          <w:szCs w:val="20"/>
        </w:rPr>
        <w:lastRenderedPageBreak/>
        <w:t xml:space="preserve">Table </w:t>
      </w:r>
      <w:r w:rsidR="00F73D6D" w:rsidRPr="00F73D6D">
        <w:rPr>
          <w:rFonts w:cstheme="minorHAnsi"/>
          <w:b/>
          <w:bCs/>
          <w:sz w:val="20"/>
          <w:szCs w:val="20"/>
        </w:rPr>
        <w:fldChar w:fldCharType="begin"/>
      </w:r>
      <w:r w:rsidR="00F73D6D" w:rsidRPr="00F73D6D">
        <w:rPr>
          <w:rFonts w:cstheme="minorHAnsi"/>
          <w:b/>
          <w:bCs/>
          <w:sz w:val="20"/>
          <w:szCs w:val="20"/>
        </w:rPr>
        <w:instrText>SEQ Table \* ARABIC</w:instrText>
      </w:r>
      <w:r w:rsidR="00F73D6D" w:rsidRPr="00F73D6D">
        <w:rPr>
          <w:rFonts w:cstheme="minorHAnsi"/>
          <w:b/>
          <w:bCs/>
          <w:sz w:val="20"/>
          <w:szCs w:val="20"/>
        </w:rPr>
        <w:fldChar w:fldCharType="separate"/>
      </w:r>
      <w:r w:rsidR="0043583C">
        <w:rPr>
          <w:rFonts w:cstheme="minorHAnsi"/>
          <w:b/>
          <w:bCs/>
          <w:noProof/>
          <w:sz w:val="20"/>
          <w:szCs w:val="20"/>
        </w:rPr>
        <w:t>1</w:t>
      </w:r>
      <w:r w:rsidR="00F73D6D" w:rsidRPr="00F73D6D">
        <w:rPr>
          <w:rFonts w:cstheme="minorHAnsi"/>
          <w:b/>
          <w:bCs/>
          <w:sz w:val="20"/>
          <w:szCs w:val="20"/>
        </w:rPr>
        <w:fldChar w:fldCharType="end"/>
      </w:r>
      <w:bookmarkEnd w:id="12"/>
      <w:r w:rsidR="00F73D6D" w:rsidRPr="00F73D6D">
        <w:rPr>
          <w:rFonts w:cstheme="minorHAnsi"/>
          <w:b/>
          <w:bCs/>
          <w:sz w:val="20"/>
          <w:szCs w:val="20"/>
        </w:rPr>
        <w:t>. Ash Pond Estimated Closure Construction Timeframes</w:t>
      </w:r>
    </w:p>
    <w:tbl>
      <w:tblPr>
        <w:tblW w:w="8455" w:type="dxa"/>
        <w:jc w:val="center"/>
        <w:tblLayout w:type="fixed"/>
        <w:tblCellMar>
          <w:left w:w="0" w:type="dxa"/>
          <w:right w:w="0" w:type="dxa"/>
        </w:tblCellMar>
        <w:tblLook w:val="0420" w:firstRow="1" w:lastRow="0" w:firstColumn="0" w:lastColumn="0" w:noHBand="0" w:noVBand="1"/>
      </w:tblPr>
      <w:tblGrid>
        <w:gridCol w:w="1785"/>
        <w:gridCol w:w="1360"/>
        <w:gridCol w:w="1530"/>
        <w:gridCol w:w="1530"/>
        <w:gridCol w:w="2250"/>
      </w:tblGrid>
      <w:tr w:rsidR="00D11D71" w:rsidRPr="008720F4" w14:paraId="4245BAEC" w14:textId="77777777" w:rsidTr="00BA09A3">
        <w:trPr>
          <w:trHeight w:hRule="exact" w:val="564"/>
          <w:jc w:val="center"/>
        </w:trPr>
        <w:tc>
          <w:tcPr>
            <w:tcW w:w="1785" w:type="dxa"/>
            <w:tcBorders>
              <w:top w:val="single" w:sz="8" w:space="0" w:color="FFFFFF"/>
              <w:left w:val="single" w:sz="8" w:space="0" w:color="FFFFFF"/>
              <w:bottom w:val="single" w:sz="8" w:space="0" w:color="FFFFFF"/>
              <w:right w:val="single" w:sz="8" w:space="0" w:color="FFFFFF"/>
            </w:tcBorders>
            <w:shd w:val="clear" w:color="auto" w:fill="365F91"/>
            <w:tcMar>
              <w:top w:w="40" w:type="dxa"/>
              <w:left w:w="81" w:type="dxa"/>
              <w:bottom w:w="40" w:type="dxa"/>
              <w:right w:w="81" w:type="dxa"/>
            </w:tcMar>
          </w:tcPr>
          <w:p w14:paraId="6795DB8E" w14:textId="77777777" w:rsidR="00D11D71" w:rsidRPr="00BA09A3" w:rsidRDefault="00D11D71" w:rsidP="00DC192E">
            <w:pPr>
              <w:ind w:left="360"/>
              <w:rPr>
                <w:rFonts w:eastAsia="MS Mincho"/>
                <w:color w:val="000000"/>
                <w:sz w:val="20"/>
                <w:szCs w:val="20"/>
              </w:rPr>
            </w:pPr>
          </w:p>
        </w:tc>
        <w:tc>
          <w:tcPr>
            <w:tcW w:w="1360" w:type="dxa"/>
            <w:tcBorders>
              <w:top w:val="single" w:sz="8" w:space="0" w:color="FFFFFF"/>
              <w:left w:val="single" w:sz="8" w:space="0" w:color="FFFFFF"/>
              <w:bottom w:val="single" w:sz="8" w:space="0" w:color="FFFFFF"/>
              <w:right w:val="single" w:sz="8" w:space="0" w:color="FFFFFF"/>
            </w:tcBorders>
            <w:shd w:val="clear" w:color="auto" w:fill="365F91"/>
            <w:tcMar>
              <w:top w:w="15" w:type="dxa"/>
              <w:left w:w="43" w:type="dxa"/>
              <w:bottom w:w="22" w:type="dxa"/>
              <w:right w:w="43" w:type="dxa"/>
            </w:tcMar>
            <w:vAlign w:val="center"/>
          </w:tcPr>
          <w:p w14:paraId="7B14D031" w14:textId="77777777" w:rsidR="00D11D71" w:rsidRPr="00BA09A3" w:rsidRDefault="00D11D71" w:rsidP="00DC192E">
            <w:pPr>
              <w:ind w:left="26"/>
              <w:jc w:val="center"/>
              <w:rPr>
                <w:rFonts w:eastAsia="MS Mincho"/>
                <w:b/>
                <w:bCs/>
                <w:color w:val="FFFFFF"/>
                <w:sz w:val="20"/>
                <w:szCs w:val="20"/>
              </w:rPr>
            </w:pPr>
            <w:r w:rsidRPr="00BA09A3">
              <w:rPr>
                <w:rFonts w:eastAsia="MS Mincho"/>
                <w:b/>
                <w:bCs/>
                <w:color w:val="FFFFFF"/>
                <w:sz w:val="20"/>
                <w:szCs w:val="20"/>
              </w:rPr>
              <w:t>Closure by Removal</w:t>
            </w:r>
          </w:p>
        </w:tc>
        <w:tc>
          <w:tcPr>
            <w:tcW w:w="1530" w:type="dxa"/>
            <w:tcBorders>
              <w:top w:val="single" w:sz="8" w:space="0" w:color="FFFFFF"/>
              <w:left w:val="single" w:sz="8" w:space="0" w:color="FFFFFF"/>
              <w:bottom w:val="single" w:sz="8" w:space="0" w:color="FFFFFF"/>
              <w:right w:val="single" w:sz="8" w:space="0" w:color="FFFFFF"/>
            </w:tcBorders>
            <w:shd w:val="clear" w:color="auto" w:fill="365F91"/>
            <w:tcMar>
              <w:top w:w="15" w:type="dxa"/>
              <w:left w:w="43" w:type="dxa"/>
              <w:bottom w:w="22" w:type="dxa"/>
              <w:right w:w="43" w:type="dxa"/>
            </w:tcMar>
            <w:vAlign w:val="center"/>
          </w:tcPr>
          <w:p w14:paraId="6883E06F" w14:textId="77777777" w:rsidR="00D11D71" w:rsidRPr="00BA09A3" w:rsidRDefault="00D11D71" w:rsidP="00DC192E">
            <w:pPr>
              <w:ind w:left="83"/>
              <w:jc w:val="center"/>
              <w:rPr>
                <w:rFonts w:eastAsia="MS Mincho"/>
                <w:b/>
                <w:bCs/>
                <w:color w:val="FFFFFF"/>
                <w:sz w:val="20"/>
                <w:szCs w:val="20"/>
              </w:rPr>
            </w:pPr>
            <w:r w:rsidRPr="00BA09A3">
              <w:rPr>
                <w:rFonts w:eastAsia="MS Mincho"/>
                <w:b/>
                <w:bCs/>
                <w:color w:val="FFFFFF"/>
                <w:sz w:val="20"/>
                <w:szCs w:val="20"/>
              </w:rPr>
              <w:t>Closure in Place</w:t>
            </w:r>
          </w:p>
        </w:tc>
        <w:tc>
          <w:tcPr>
            <w:tcW w:w="1530" w:type="dxa"/>
            <w:tcBorders>
              <w:top w:val="single" w:sz="8" w:space="0" w:color="FFFFFF"/>
              <w:left w:val="single" w:sz="8" w:space="0" w:color="FFFFFF"/>
              <w:bottom w:val="single" w:sz="8" w:space="0" w:color="FFFFFF"/>
              <w:right w:val="single" w:sz="8" w:space="0" w:color="FFFFFF"/>
            </w:tcBorders>
            <w:shd w:val="clear" w:color="auto" w:fill="365F91"/>
            <w:tcMar>
              <w:top w:w="15" w:type="dxa"/>
              <w:left w:w="43" w:type="dxa"/>
              <w:bottom w:w="22" w:type="dxa"/>
              <w:right w:w="43" w:type="dxa"/>
            </w:tcMar>
            <w:vAlign w:val="center"/>
          </w:tcPr>
          <w:p w14:paraId="2645ED40" w14:textId="77777777" w:rsidR="00D11D71" w:rsidRPr="00BA09A3" w:rsidRDefault="00D11D71" w:rsidP="00DC192E">
            <w:pPr>
              <w:jc w:val="center"/>
              <w:rPr>
                <w:rFonts w:eastAsia="MS Mincho"/>
                <w:b/>
                <w:bCs/>
                <w:color w:val="FFFFFF"/>
                <w:sz w:val="20"/>
                <w:szCs w:val="20"/>
              </w:rPr>
            </w:pPr>
            <w:r w:rsidRPr="00BA09A3">
              <w:rPr>
                <w:rFonts w:eastAsia="MS Mincho"/>
                <w:b/>
                <w:bCs/>
                <w:color w:val="FFFFFF"/>
                <w:sz w:val="20"/>
                <w:szCs w:val="20"/>
              </w:rPr>
              <w:t>Total</w:t>
            </w:r>
          </w:p>
        </w:tc>
        <w:tc>
          <w:tcPr>
            <w:tcW w:w="2250" w:type="dxa"/>
            <w:tcBorders>
              <w:top w:val="single" w:sz="8" w:space="0" w:color="FFFFFF"/>
              <w:left w:val="single" w:sz="8" w:space="0" w:color="FFFFFF"/>
              <w:bottom w:val="single" w:sz="8" w:space="0" w:color="FFFFFF"/>
              <w:right w:val="single" w:sz="8" w:space="0" w:color="FFFFFF"/>
            </w:tcBorders>
            <w:shd w:val="clear" w:color="auto" w:fill="365F91"/>
          </w:tcPr>
          <w:p w14:paraId="63AB6B71" w14:textId="77777777" w:rsidR="00D11D71" w:rsidRPr="00BA09A3" w:rsidRDefault="00D11D71" w:rsidP="00DC192E">
            <w:pPr>
              <w:jc w:val="center"/>
              <w:rPr>
                <w:rFonts w:eastAsia="MS Mincho"/>
                <w:b/>
                <w:bCs/>
                <w:color w:val="FFFFFF"/>
                <w:sz w:val="20"/>
                <w:szCs w:val="20"/>
              </w:rPr>
            </w:pPr>
            <w:r w:rsidRPr="00BA09A3">
              <w:rPr>
                <w:rFonts w:eastAsia="MS Mincho"/>
                <w:b/>
                <w:bCs/>
                <w:color w:val="FFFFFF"/>
                <w:sz w:val="20"/>
                <w:szCs w:val="20"/>
              </w:rPr>
              <w:t>Estimated Closure Construction Completion</w:t>
            </w:r>
            <w:r w:rsidRPr="00BA09A3">
              <w:rPr>
                <w:rFonts w:eastAsia="MS Mincho"/>
                <w:b/>
                <w:bCs/>
                <w:color w:val="FFFFFF"/>
                <w:sz w:val="20"/>
                <w:szCs w:val="20"/>
                <w:vertAlign w:val="superscript"/>
              </w:rPr>
              <w:t>1</w:t>
            </w:r>
          </w:p>
        </w:tc>
      </w:tr>
      <w:tr w:rsidR="00D11D71" w:rsidRPr="008720F4" w14:paraId="21A12887" w14:textId="77777777" w:rsidTr="000571BA">
        <w:trPr>
          <w:trHeight w:hRule="exact" w:val="288"/>
          <w:jc w:val="center"/>
        </w:trPr>
        <w:tc>
          <w:tcPr>
            <w:tcW w:w="1785" w:type="dxa"/>
            <w:tcBorders>
              <w:top w:val="single" w:sz="8" w:space="0" w:color="FFFFFF"/>
              <w:left w:val="single" w:sz="4" w:space="0" w:color="auto"/>
              <w:bottom w:val="nil"/>
              <w:right w:val="single" w:sz="12" w:space="0" w:color="FFFFFF"/>
            </w:tcBorders>
            <w:shd w:val="clear" w:color="auto" w:fill="FFFFFF"/>
            <w:tcMar>
              <w:top w:w="22" w:type="dxa"/>
              <w:left w:w="81" w:type="dxa"/>
              <w:bottom w:w="22" w:type="dxa"/>
              <w:right w:w="81" w:type="dxa"/>
            </w:tcMar>
            <w:vAlign w:val="center"/>
            <w:hideMark/>
          </w:tcPr>
          <w:p w14:paraId="0820C6A8"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Bowen</w:t>
            </w:r>
          </w:p>
        </w:tc>
        <w:tc>
          <w:tcPr>
            <w:tcW w:w="1360" w:type="dxa"/>
            <w:tcBorders>
              <w:top w:val="single" w:sz="8" w:space="0" w:color="FFFFFF"/>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6C71C31E" w14:textId="77777777" w:rsidR="00D11D71" w:rsidRPr="00BA09A3" w:rsidRDefault="00D11D71" w:rsidP="00DC192E">
            <w:pPr>
              <w:ind w:left="360"/>
              <w:jc w:val="center"/>
              <w:rPr>
                <w:rFonts w:eastAsia="MS Mincho"/>
                <w:color w:val="000000"/>
                <w:sz w:val="20"/>
                <w:szCs w:val="20"/>
              </w:rPr>
            </w:pPr>
          </w:p>
        </w:tc>
        <w:tc>
          <w:tcPr>
            <w:tcW w:w="1530" w:type="dxa"/>
            <w:tcBorders>
              <w:top w:val="single" w:sz="8" w:space="0" w:color="FFFFFF"/>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6357368E" w14:textId="77777777" w:rsidR="00D11D71" w:rsidRPr="00BA09A3" w:rsidRDefault="00D11D71" w:rsidP="00DC192E">
            <w:pPr>
              <w:ind w:left="18"/>
              <w:jc w:val="center"/>
              <w:rPr>
                <w:rFonts w:eastAsia="MS Mincho"/>
                <w:color w:val="000000"/>
                <w:sz w:val="20"/>
                <w:szCs w:val="20"/>
              </w:rPr>
            </w:pPr>
            <w:r w:rsidRPr="00BA09A3">
              <w:rPr>
                <w:rFonts w:eastAsia="MS Mincho"/>
                <w:color w:val="000000"/>
                <w:sz w:val="20"/>
                <w:szCs w:val="20"/>
              </w:rPr>
              <w:t>1</w:t>
            </w:r>
          </w:p>
        </w:tc>
        <w:tc>
          <w:tcPr>
            <w:tcW w:w="1530" w:type="dxa"/>
            <w:tcBorders>
              <w:top w:val="single" w:sz="8" w:space="0" w:color="FFFFFF"/>
              <w:left w:val="single" w:sz="12" w:space="0" w:color="FFFFFF"/>
              <w:bottom w:val="nil"/>
              <w:right w:val="single" w:sz="4" w:space="0" w:color="auto"/>
            </w:tcBorders>
            <w:shd w:val="clear" w:color="auto" w:fill="FFFFFF"/>
            <w:tcMar>
              <w:top w:w="22" w:type="dxa"/>
              <w:left w:w="81" w:type="dxa"/>
              <w:bottom w:w="22" w:type="dxa"/>
              <w:right w:w="81" w:type="dxa"/>
            </w:tcMar>
            <w:vAlign w:val="center"/>
            <w:hideMark/>
          </w:tcPr>
          <w:p w14:paraId="23D4CBB7"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1</w:t>
            </w:r>
          </w:p>
        </w:tc>
        <w:tc>
          <w:tcPr>
            <w:tcW w:w="2250" w:type="dxa"/>
            <w:tcBorders>
              <w:top w:val="single" w:sz="8" w:space="0" w:color="FFFFFF"/>
              <w:left w:val="single" w:sz="12" w:space="0" w:color="FFFFFF"/>
              <w:bottom w:val="nil"/>
              <w:right w:val="single" w:sz="4" w:space="0" w:color="auto"/>
            </w:tcBorders>
            <w:shd w:val="clear" w:color="auto" w:fill="FFFFFF"/>
            <w:vAlign w:val="center"/>
          </w:tcPr>
          <w:p w14:paraId="3597F510" w14:textId="77777777" w:rsidR="00D11D71" w:rsidRPr="00BA09A3" w:rsidRDefault="00D11D71" w:rsidP="00DC192E">
            <w:pPr>
              <w:ind w:left="18"/>
              <w:jc w:val="left"/>
              <w:rPr>
                <w:rFonts w:eastAsia="Arial"/>
                <w:sz w:val="20"/>
                <w:szCs w:val="20"/>
              </w:rPr>
            </w:pPr>
            <w:r w:rsidRPr="00BA09A3">
              <w:rPr>
                <w:rFonts w:eastAsia="MS Mincho"/>
                <w:b/>
                <w:color w:val="000000"/>
                <w:sz w:val="20"/>
                <w:szCs w:val="20"/>
              </w:rPr>
              <w:tab/>
              <w:t>2034</w:t>
            </w:r>
          </w:p>
        </w:tc>
      </w:tr>
      <w:tr w:rsidR="00D11D71" w:rsidRPr="008720F4" w14:paraId="53C636B0"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E9E9E9"/>
            <w:tcMar>
              <w:top w:w="22" w:type="dxa"/>
              <w:left w:w="81" w:type="dxa"/>
              <w:bottom w:w="22" w:type="dxa"/>
              <w:right w:w="81" w:type="dxa"/>
            </w:tcMar>
            <w:vAlign w:val="center"/>
            <w:hideMark/>
          </w:tcPr>
          <w:p w14:paraId="3E9C81FC"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Branch</w:t>
            </w:r>
          </w:p>
        </w:tc>
        <w:tc>
          <w:tcPr>
            <w:tcW w:w="1360" w:type="dxa"/>
            <w:tcBorders>
              <w:top w:val="nil"/>
              <w:left w:val="single" w:sz="12" w:space="0" w:color="FFFFFF"/>
              <w:bottom w:val="nil"/>
              <w:right w:val="single" w:sz="12" w:space="0" w:color="FFFFFF"/>
            </w:tcBorders>
            <w:shd w:val="clear" w:color="auto" w:fill="E9E9E9"/>
            <w:tcMar>
              <w:top w:w="22" w:type="dxa"/>
              <w:left w:w="81" w:type="dxa"/>
              <w:bottom w:w="22" w:type="dxa"/>
              <w:right w:w="81" w:type="dxa"/>
            </w:tcMar>
            <w:vAlign w:val="center"/>
            <w:hideMark/>
          </w:tcPr>
          <w:p w14:paraId="15336A34" w14:textId="77777777" w:rsidR="00D11D71" w:rsidRPr="00BA09A3" w:rsidRDefault="00D11D71" w:rsidP="00DC192E">
            <w:pPr>
              <w:jc w:val="center"/>
              <w:rPr>
                <w:rFonts w:eastAsia="MS Mincho"/>
                <w:color w:val="000000"/>
                <w:sz w:val="20"/>
                <w:szCs w:val="20"/>
              </w:rPr>
            </w:pPr>
            <w:r w:rsidRPr="00BA09A3">
              <w:rPr>
                <w:rFonts w:eastAsia="MS Mincho"/>
                <w:color w:val="000000"/>
                <w:sz w:val="20"/>
                <w:szCs w:val="20"/>
              </w:rPr>
              <w:t>5</w:t>
            </w:r>
          </w:p>
        </w:tc>
        <w:tc>
          <w:tcPr>
            <w:tcW w:w="1530" w:type="dxa"/>
            <w:tcBorders>
              <w:top w:val="nil"/>
              <w:left w:val="single" w:sz="12" w:space="0" w:color="FFFFFF"/>
              <w:bottom w:val="nil"/>
              <w:right w:val="single" w:sz="12" w:space="0" w:color="FFFFFF"/>
            </w:tcBorders>
            <w:shd w:val="clear" w:color="auto" w:fill="E9E9E9"/>
            <w:tcMar>
              <w:top w:w="22" w:type="dxa"/>
              <w:left w:w="81" w:type="dxa"/>
              <w:bottom w:w="22" w:type="dxa"/>
              <w:right w:w="81" w:type="dxa"/>
            </w:tcMar>
            <w:vAlign w:val="center"/>
            <w:hideMark/>
          </w:tcPr>
          <w:p w14:paraId="707E1592" w14:textId="77777777" w:rsidR="00D11D71" w:rsidRPr="00BA09A3" w:rsidRDefault="00D11D71" w:rsidP="00DC192E">
            <w:pPr>
              <w:ind w:left="360"/>
              <w:jc w:val="center"/>
              <w:rPr>
                <w:rFonts w:eastAsia="MS Mincho"/>
                <w:color w:val="000000"/>
                <w:sz w:val="20"/>
                <w:szCs w:val="20"/>
              </w:rPr>
            </w:pPr>
          </w:p>
        </w:tc>
        <w:tc>
          <w:tcPr>
            <w:tcW w:w="1530" w:type="dxa"/>
            <w:tcBorders>
              <w:top w:val="nil"/>
              <w:left w:val="single" w:sz="12" w:space="0" w:color="FFFFFF"/>
              <w:bottom w:val="nil"/>
              <w:right w:val="single" w:sz="4" w:space="0" w:color="auto"/>
            </w:tcBorders>
            <w:shd w:val="clear" w:color="auto" w:fill="E9E9E9"/>
            <w:tcMar>
              <w:top w:w="22" w:type="dxa"/>
              <w:left w:w="81" w:type="dxa"/>
              <w:bottom w:w="22" w:type="dxa"/>
              <w:right w:w="81" w:type="dxa"/>
            </w:tcMar>
            <w:vAlign w:val="center"/>
            <w:hideMark/>
          </w:tcPr>
          <w:p w14:paraId="300E6339"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5</w:t>
            </w:r>
          </w:p>
        </w:tc>
        <w:tc>
          <w:tcPr>
            <w:tcW w:w="2250" w:type="dxa"/>
            <w:tcBorders>
              <w:top w:val="nil"/>
              <w:left w:val="single" w:sz="12" w:space="0" w:color="FFFFFF"/>
              <w:bottom w:val="nil"/>
              <w:right w:val="single" w:sz="4" w:space="0" w:color="auto"/>
            </w:tcBorders>
            <w:shd w:val="clear" w:color="auto" w:fill="E9E9E9"/>
            <w:vAlign w:val="center"/>
          </w:tcPr>
          <w:p w14:paraId="33014BD0" w14:textId="77777777" w:rsidR="00D11D71" w:rsidRPr="00BA09A3" w:rsidRDefault="00D11D71" w:rsidP="00DC192E">
            <w:pPr>
              <w:ind w:left="18"/>
              <w:jc w:val="left"/>
              <w:rPr>
                <w:rFonts w:eastAsia="MS Mincho"/>
                <w:b/>
                <w:color w:val="000000"/>
                <w:sz w:val="20"/>
                <w:szCs w:val="20"/>
              </w:rPr>
            </w:pPr>
            <w:r w:rsidRPr="00BA09A3">
              <w:rPr>
                <w:rFonts w:eastAsia="MS Mincho"/>
                <w:b/>
                <w:color w:val="000000"/>
                <w:sz w:val="20"/>
                <w:szCs w:val="20"/>
              </w:rPr>
              <w:tab/>
              <w:t>2041</w:t>
            </w:r>
          </w:p>
        </w:tc>
      </w:tr>
      <w:tr w:rsidR="00D11D71" w:rsidRPr="008720F4" w14:paraId="1A09AA86"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FFFFFF"/>
            <w:tcMar>
              <w:top w:w="22" w:type="dxa"/>
              <w:left w:w="81" w:type="dxa"/>
              <w:bottom w:w="22" w:type="dxa"/>
              <w:right w:w="81" w:type="dxa"/>
            </w:tcMar>
            <w:vAlign w:val="center"/>
            <w:hideMark/>
          </w:tcPr>
          <w:p w14:paraId="762CECC1"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Hammond</w:t>
            </w:r>
          </w:p>
        </w:tc>
        <w:tc>
          <w:tcPr>
            <w:tcW w:w="1360" w:type="dxa"/>
            <w:tcBorders>
              <w:top w:val="nil"/>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34839AC1" w14:textId="77777777" w:rsidR="00D11D71" w:rsidRPr="00BA09A3" w:rsidRDefault="00D11D71" w:rsidP="00DC192E">
            <w:pPr>
              <w:ind w:left="-4"/>
              <w:jc w:val="center"/>
              <w:rPr>
                <w:rFonts w:eastAsia="MS Mincho"/>
                <w:color w:val="000000"/>
                <w:sz w:val="20"/>
                <w:szCs w:val="20"/>
              </w:rPr>
            </w:pPr>
            <w:r w:rsidRPr="00BA09A3">
              <w:rPr>
                <w:rFonts w:eastAsia="MS Mincho"/>
                <w:color w:val="000000"/>
                <w:sz w:val="20"/>
                <w:szCs w:val="20"/>
              </w:rPr>
              <w:t>3</w:t>
            </w:r>
          </w:p>
        </w:tc>
        <w:tc>
          <w:tcPr>
            <w:tcW w:w="1530" w:type="dxa"/>
            <w:tcBorders>
              <w:top w:val="nil"/>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37D4B4A8" w14:textId="77777777" w:rsidR="00D11D71" w:rsidRPr="00BA09A3" w:rsidRDefault="00D11D71" w:rsidP="00DC192E">
            <w:pPr>
              <w:ind w:left="18"/>
              <w:jc w:val="center"/>
              <w:rPr>
                <w:rFonts w:eastAsia="MS Mincho"/>
                <w:color w:val="000000"/>
                <w:sz w:val="20"/>
                <w:szCs w:val="20"/>
              </w:rPr>
            </w:pPr>
            <w:r w:rsidRPr="00BA09A3">
              <w:rPr>
                <w:rFonts w:eastAsia="MS Mincho"/>
                <w:color w:val="000000"/>
                <w:sz w:val="20"/>
                <w:szCs w:val="20"/>
              </w:rPr>
              <w:t>1</w:t>
            </w:r>
          </w:p>
        </w:tc>
        <w:tc>
          <w:tcPr>
            <w:tcW w:w="1530" w:type="dxa"/>
            <w:tcBorders>
              <w:top w:val="nil"/>
              <w:left w:val="single" w:sz="12" w:space="0" w:color="FFFFFF"/>
              <w:bottom w:val="nil"/>
              <w:right w:val="single" w:sz="4" w:space="0" w:color="auto"/>
            </w:tcBorders>
            <w:shd w:val="clear" w:color="auto" w:fill="FFFFFF"/>
            <w:tcMar>
              <w:top w:w="22" w:type="dxa"/>
              <w:left w:w="81" w:type="dxa"/>
              <w:bottom w:w="22" w:type="dxa"/>
              <w:right w:w="81" w:type="dxa"/>
            </w:tcMar>
            <w:vAlign w:val="center"/>
            <w:hideMark/>
          </w:tcPr>
          <w:p w14:paraId="76236300"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4</w:t>
            </w:r>
          </w:p>
        </w:tc>
        <w:tc>
          <w:tcPr>
            <w:tcW w:w="2250" w:type="dxa"/>
            <w:tcBorders>
              <w:top w:val="nil"/>
              <w:left w:val="single" w:sz="12" w:space="0" w:color="FFFFFF"/>
              <w:bottom w:val="nil"/>
              <w:right w:val="single" w:sz="4" w:space="0" w:color="auto"/>
            </w:tcBorders>
            <w:shd w:val="clear" w:color="auto" w:fill="FFFFFF"/>
            <w:vAlign w:val="center"/>
          </w:tcPr>
          <w:p w14:paraId="4699EC43" w14:textId="77777777" w:rsidR="00D11D71" w:rsidRPr="00BA09A3" w:rsidRDefault="00D11D71" w:rsidP="00DC192E">
            <w:pPr>
              <w:ind w:left="18"/>
              <w:jc w:val="left"/>
              <w:rPr>
                <w:rFonts w:eastAsia="MS Mincho"/>
                <w:b/>
                <w:color w:val="000000"/>
                <w:sz w:val="20"/>
                <w:szCs w:val="20"/>
              </w:rPr>
            </w:pPr>
            <w:r w:rsidRPr="00BA09A3">
              <w:rPr>
                <w:rFonts w:eastAsia="MS Mincho"/>
                <w:b/>
                <w:color w:val="000000"/>
                <w:kern w:val="24"/>
                <w:sz w:val="20"/>
                <w:szCs w:val="20"/>
              </w:rPr>
              <w:tab/>
              <w:t>2032</w:t>
            </w:r>
          </w:p>
        </w:tc>
      </w:tr>
      <w:tr w:rsidR="00D11D71" w:rsidRPr="008720F4" w14:paraId="454AF241"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E9E9E9"/>
            <w:tcMar>
              <w:top w:w="22" w:type="dxa"/>
              <w:left w:w="81" w:type="dxa"/>
              <w:bottom w:w="22" w:type="dxa"/>
              <w:right w:w="81" w:type="dxa"/>
            </w:tcMar>
            <w:vAlign w:val="center"/>
            <w:hideMark/>
          </w:tcPr>
          <w:p w14:paraId="7FDF8488"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Kraft</w:t>
            </w:r>
          </w:p>
        </w:tc>
        <w:tc>
          <w:tcPr>
            <w:tcW w:w="1360" w:type="dxa"/>
            <w:tcBorders>
              <w:top w:val="nil"/>
              <w:left w:val="single" w:sz="12" w:space="0" w:color="FFFFFF"/>
              <w:bottom w:val="nil"/>
              <w:right w:val="single" w:sz="12" w:space="0" w:color="FFFFFF"/>
            </w:tcBorders>
            <w:shd w:val="clear" w:color="auto" w:fill="EAEAEA"/>
            <w:tcMar>
              <w:top w:w="22" w:type="dxa"/>
              <w:left w:w="81" w:type="dxa"/>
              <w:bottom w:w="22" w:type="dxa"/>
              <w:right w:w="81" w:type="dxa"/>
            </w:tcMar>
            <w:vAlign w:val="center"/>
            <w:hideMark/>
          </w:tcPr>
          <w:p w14:paraId="3CEC5BE7" w14:textId="77777777" w:rsidR="00D11D71" w:rsidRPr="00BA09A3" w:rsidRDefault="00D11D71" w:rsidP="00DC192E">
            <w:pPr>
              <w:jc w:val="center"/>
              <w:rPr>
                <w:rFonts w:eastAsia="MS Mincho"/>
                <w:color w:val="000000"/>
                <w:sz w:val="20"/>
                <w:szCs w:val="20"/>
              </w:rPr>
            </w:pPr>
            <w:r w:rsidRPr="00BA09A3">
              <w:rPr>
                <w:rFonts w:eastAsia="MS Mincho"/>
                <w:color w:val="000000"/>
                <w:sz w:val="20"/>
                <w:szCs w:val="20"/>
              </w:rPr>
              <w:t>1</w:t>
            </w:r>
          </w:p>
        </w:tc>
        <w:tc>
          <w:tcPr>
            <w:tcW w:w="1530" w:type="dxa"/>
            <w:tcBorders>
              <w:top w:val="nil"/>
              <w:left w:val="single" w:sz="12" w:space="0" w:color="FFFFFF"/>
              <w:bottom w:val="nil"/>
              <w:right w:val="single" w:sz="12" w:space="0" w:color="FFFFFF"/>
            </w:tcBorders>
            <w:shd w:val="clear" w:color="auto" w:fill="EAEAEA"/>
            <w:tcMar>
              <w:top w:w="22" w:type="dxa"/>
              <w:left w:w="81" w:type="dxa"/>
              <w:bottom w:w="22" w:type="dxa"/>
              <w:right w:w="81" w:type="dxa"/>
            </w:tcMar>
            <w:vAlign w:val="center"/>
            <w:hideMark/>
          </w:tcPr>
          <w:p w14:paraId="528E888E" w14:textId="77777777" w:rsidR="00D11D71" w:rsidRPr="00BA09A3" w:rsidRDefault="00D11D71" w:rsidP="00DC192E">
            <w:pPr>
              <w:ind w:left="360"/>
              <w:jc w:val="center"/>
              <w:rPr>
                <w:rFonts w:eastAsia="MS Mincho"/>
                <w:color w:val="000000"/>
                <w:sz w:val="20"/>
                <w:szCs w:val="20"/>
              </w:rPr>
            </w:pPr>
          </w:p>
        </w:tc>
        <w:tc>
          <w:tcPr>
            <w:tcW w:w="1530" w:type="dxa"/>
            <w:tcBorders>
              <w:top w:val="nil"/>
              <w:left w:val="single" w:sz="12" w:space="0" w:color="FFFFFF"/>
              <w:bottom w:val="nil"/>
              <w:right w:val="single" w:sz="4" w:space="0" w:color="auto"/>
            </w:tcBorders>
            <w:shd w:val="clear" w:color="auto" w:fill="EAEAEA"/>
            <w:tcMar>
              <w:top w:w="22" w:type="dxa"/>
              <w:left w:w="81" w:type="dxa"/>
              <w:bottom w:w="22" w:type="dxa"/>
              <w:right w:w="81" w:type="dxa"/>
            </w:tcMar>
            <w:vAlign w:val="center"/>
            <w:hideMark/>
          </w:tcPr>
          <w:p w14:paraId="41198F0B"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1</w:t>
            </w:r>
          </w:p>
        </w:tc>
        <w:tc>
          <w:tcPr>
            <w:tcW w:w="2250" w:type="dxa"/>
            <w:tcBorders>
              <w:top w:val="nil"/>
              <w:left w:val="single" w:sz="12" w:space="0" w:color="FFFFFF"/>
              <w:bottom w:val="nil"/>
              <w:right w:val="single" w:sz="4" w:space="0" w:color="auto"/>
            </w:tcBorders>
            <w:shd w:val="clear" w:color="auto" w:fill="EAEAEA"/>
            <w:vAlign w:val="center"/>
          </w:tcPr>
          <w:p w14:paraId="0C918293" w14:textId="77777777" w:rsidR="00D11D71" w:rsidRPr="00BA09A3" w:rsidRDefault="00D11D71" w:rsidP="00DC192E">
            <w:pPr>
              <w:ind w:left="18"/>
              <w:jc w:val="left"/>
              <w:rPr>
                <w:rFonts w:eastAsia="Arial"/>
                <w:sz w:val="20"/>
                <w:szCs w:val="20"/>
              </w:rPr>
            </w:pPr>
            <w:r w:rsidRPr="00BA09A3">
              <w:rPr>
                <w:rFonts w:eastAsia="MS Mincho"/>
                <w:b/>
                <w:color w:val="000000"/>
                <w:sz w:val="20"/>
                <w:szCs w:val="20"/>
              </w:rPr>
              <w:tab/>
              <w:t>2016</w:t>
            </w:r>
            <w:r w:rsidRPr="00BA09A3">
              <w:rPr>
                <w:rFonts w:eastAsia="MS Mincho"/>
                <w:b/>
                <w:color w:val="000000"/>
                <w:sz w:val="20"/>
                <w:szCs w:val="20"/>
                <w:vertAlign w:val="superscript"/>
              </w:rPr>
              <w:t xml:space="preserve"> A</w:t>
            </w:r>
          </w:p>
        </w:tc>
      </w:tr>
      <w:tr w:rsidR="00D11D71" w:rsidRPr="008720F4" w14:paraId="082A7CD1"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FFFFFF"/>
            <w:tcMar>
              <w:top w:w="22" w:type="dxa"/>
              <w:left w:w="81" w:type="dxa"/>
              <w:bottom w:w="22" w:type="dxa"/>
              <w:right w:w="81" w:type="dxa"/>
            </w:tcMar>
            <w:vAlign w:val="center"/>
            <w:hideMark/>
          </w:tcPr>
          <w:p w14:paraId="673C91EF"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McDonough</w:t>
            </w:r>
          </w:p>
        </w:tc>
        <w:tc>
          <w:tcPr>
            <w:tcW w:w="1360" w:type="dxa"/>
            <w:tcBorders>
              <w:top w:val="nil"/>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19B7745D" w14:textId="77777777" w:rsidR="00D11D71" w:rsidRPr="00BA09A3" w:rsidRDefault="00D11D71" w:rsidP="00DC192E">
            <w:pPr>
              <w:jc w:val="center"/>
              <w:rPr>
                <w:rFonts w:eastAsia="MS Mincho"/>
                <w:color w:val="000000"/>
                <w:sz w:val="20"/>
                <w:szCs w:val="20"/>
              </w:rPr>
            </w:pPr>
            <w:r w:rsidRPr="00BA09A3">
              <w:rPr>
                <w:rFonts w:eastAsia="MS Mincho"/>
                <w:color w:val="000000"/>
                <w:sz w:val="20"/>
                <w:szCs w:val="20"/>
              </w:rPr>
              <w:t>1</w:t>
            </w:r>
          </w:p>
        </w:tc>
        <w:tc>
          <w:tcPr>
            <w:tcW w:w="1530" w:type="dxa"/>
            <w:tcBorders>
              <w:top w:val="nil"/>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2DF7D4E6" w14:textId="77777777" w:rsidR="00D11D71" w:rsidRPr="00BA09A3" w:rsidRDefault="00D11D71" w:rsidP="00DC192E">
            <w:pPr>
              <w:ind w:left="18"/>
              <w:jc w:val="center"/>
              <w:rPr>
                <w:rFonts w:eastAsia="MS Mincho"/>
                <w:color w:val="000000"/>
                <w:sz w:val="20"/>
                <w:szCs w:val="20"/>
              </w:rPr>
            </w:pPr>
            <w:r w:rsidRPr="00BA09A3">
              <w:rPr>
                <w:rFonts w:eastAsia="MS Mincho"/>
                <w:color w:val="000000"/>
                <w:sz w:val="20"/>
                <w:szCs w:val="20"/>
              </w:rPr>
              <w:t>3</w:t>
            </w:r>
          </w:p>
        </w:tc>
        <w:tc>
          <w:tcPr>
            <w:tcW w:w="1530" w:type="dxa"/>
            <w:tcBorders>
              <w:top w:val="nil"/>
              <w:left w:val="single" w:sz="12" w:space="0" w:color="FFFFFF"/>
              <w:bottom w:val="nil"/>
              <w:right w:val="single" w:sz="4" w:space="0" w:color="auto"/>
            </w:tcBorders>
            <w:shd w:val="clear" w:color="auto" w:fill="FFFFFF"/>
            <w:tcMar>
              <w:top w:w="22" w:type="dxa"/>
              <w:left w:w="81" w:type="dxa"/>
              <w:bottom w:w="22" w:type="dxa"/>
              <w:right w:w="81" w:type="dxa"/>
            </w:tcMar>
            <w:vAlign w:val="center"/>
            <w:hideMark/>
          </w:tcPr>
          <w:p w14:paraId="17AF4F7A" w14:textId="77777777" w:rsidR="00D11D71" w:rsidRPr="00BA09A3" w:rsidRDefault="00D11D71" w:rsidP="00DC192E">
            <w:pPr>
              <w:ind w:left="18"/>
              <w:jc w:val="center"/>
              <w:rPr>
                <w:rFonts w:eastAsia="MS Mincho"/>
                <w:color w:val="000000"/>
                <w:sz w:val="20"/>
                <w:szCs w:val="20"/>
              </w:rPr>
            </w:pPr>
            <w:r w:rsidRPr="00BA09A3">
              <w:rPr>
                <w:rFonts w:eastAsia="MS Mincho"/>
                <w:b/>
                <w:color w:val="000000"/>
                <w:sz w:val="20"/>
                <w:szCs w:val="20"/>
              </w:rPr>
              <w:t>4</w:t>
            </w:r>
          </w:p>
        </w:tc>
        <w:tc>
          <w:tcPr>
            <w:tcW w:w="2250" w:type="dxa"/>
            <w:tcBorders>
              <w:top w:val="nil"/>
              <w:left w:val="single" w:sz="12" w:space="0" w:color="FFFFFF"/>
              <w:bottom w:val="nil"/>
              <w:right w:val="single" w:sz="4" w:space="0" w:color="auto"/>
            </w:tcBorders>
            <w:shd w:val="clear" w:color="auto" w:fill="FFFFFF"/>
            <w:vAlign w:val="center"/>
          </w:tcPr>
          <w:p w14:paraId="3B88BF95" w14:textId="77777777" w:rsidR="00D11D71" w:rsidRPr="00BA09A3" w:rsidRDefault="00D11D71" w:rsidP="00DC192E">
            <w:pPr>
              <w:ind w:left="18"/>
              <w:jc w:val="left"/>
              <w:rPr>
                <w:rFonts w:eastAsia="MS Mincho"/>
                <w:b/>
                <w:color w:val="000000"/>
                <w:sz w:val="20"/>
                <w:szCs w:val="20"/>
              </w:rPr>
            </w:pPr>
            <w:r w:rsidRPr="00BA09A3">
              <w:rPr>
                <w:rFonts w:eastAsia="MS Mincho"/>
                <w:b/>
                <w:color w:val="000000"/>
                <w:kern w:val="24"/>
                <w:sz w:val="20"/>
                <w:szCs w:val="20"/>
              </w:rPr>
              <w:tab/>
              <w:t>2025</w:t>
            </w:r>
          </w:p>
        </w:tc>
      </w:tr>
      <w:tr w:rsidR="00D11D71" w:rsidRPr="008720F4" w14:paraId="29CEC6EB"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E9E9E9"/>
            <w:tcMar>
              <w:top w:w="22" w:type="dxa"/>
              <w:left w:w="81" w:type="dxa"/>
              <w:bottom w:w="22" w:type="dxa"/>
              <w:right w:w="81" w:type="dxa"/>
            </w:tcMar>
            <w:vAlign w:val="center"/>
            <w:hideMark/>
          </w:tcPr>
          <w:p w14:paraId="61030E8D"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McIntosh</w:t>
            </w:r>
          </w:p>
        </w:tc>
        <w:tc>
          <w:tcPr>
            <w:tcW w:w="1360" w:type="dxa"/>
            <w:tcBorders>
              <w:top w:val="nil"/>
              <w:left w:val="single" w:sz="12" w:space="0" w:color="FFFFFF"/>
              <w:bottom w:val="nil"/>
              <w:right w:val="single" w:sz="12" w:space="0" w:color="FFFFFF"/>
            </w:tcBorders>
            <w:shd w:val="clear" w:color="auto" w:fill="E9E9E9"/>
            <w:tcMar>
              <w:top w:w="22" w:type="dxa"/>
              <w:left w:w="81" w:type="dxa"/>
              <w:bottom w:w="22" w:type="dxa"/>
              <w:right w:w="81" w:type="dxa"/>
            </w:tcMar>
            <w:vAlign w:val="center"/>
            <w:hideMark/>
          </w:tcPr>
          <w:p w14:paraId="4D523301" w14:textId="77777777" w:rsidR="00D11D71" w:rsidRPr="00BA09A3" w:rsidRDefault="00D11D71" w:rsidP="00DC192E">
            <w:pPr>
              <w:jc w:val="center"/>
              <w:rPr>
                <w:rFonts w:eastAsia="MS Mincho"/>
                <w:color w:val="000000"/>
                <w:sz w:val="20"/>
                <w:szCs w:val="20"/>
              </w:rPr>
            </w:pPr>
            <w:r w:rsidRPr="00BA09A3">
              <w:rPr>
                <w:rFonts w:eastAsia="MS Mincho"/>
                <w:color w:val="000000"/>
                <w:sz w:val="20"/>
                <w:szCs w:val="20"/>
              </w:rPr>
              <w:t>1</w:t>
            </w:r>
          </w:p>
        </w:tc>
        <w:tc>
          <w:tcPr>
            <w:tcW w:w="1530" w:type="dxa"/>
            <w:tcBorders>
              <w:top w:val="nil"/>
              <w:left w:val="single" w:sz="12" w:space="0" w:color="FFFFFF"/>
              <w:bottom w:val="nil"/>
              <w:right w:val="single" w:sz="12" w:space="0" w:color="FFFFFF"/>
            </w:tcBorders>
            <w:shd w:val="clear" w:color="auto" w:fill="E9E9E9"/>
            <w:tcMar>
              <w:top w:w="22" w:type="dxa"/>
              <w:left w:w="81" w:type="dxa"/>
              <w:bottom w:w="22" w:type="dxa"/>
              <w:right w:w="81" w:type="dxa"/>
            </w:tcMar>
            <w:vAlign w:val="center"/>
            <w:hideMark/>
          </w:tcPr>
          <w:p w14:paraId="657B89E6" w14:textId="77777777" w:rsidR="00D11D71" w:rsidRPr="00BA09A3" w:rsidRDefault="00D11D71" w:rsidP="00DC192E">
            <w:pPr>
              <w:ind w:left="360"/>
              <w:jc w:val="center"/>
              <w:rPr>
                <w:rFonts w:eastAsia="MS Mincho"/>
                <w:color w:val="000000"/>
                <w:sz w:val="20"/>
                <w:szCs w:val="20"/>
              </w:rPr>
            </w:pPr>
          </w:p>
        </w:tc>
        <w:tc>
          <w:tcPr>
            <w:tcW w:w="1530" w:type="dxa"/>
            <w:tcBorders>
              <w:top w:val="nil"/>
              <w:left w:val="single" w:sz="12" w:space="0" w:color="FFFFFF"/>
              <w:bottom w:val="nil"/>
              <w:right w:val="single" w:sz="4" w:space="0" w:color="auto"/>
            </w:tcBorders>
            <w:shd w:val="clear" w:color="auto" w:fill="E9E9E9"/>
            <w:tcMar>
              <w:top w:w="22" w:type="dxa"/>
              <w:left w:w="81" w:type="dxa"/>
              <w:bottom w:w="22" w:type="dxa"/>
              <w:right w:w="81" w:type="dxa"/>
            </w:tcMar>
            <w:vAlign w:val="center"/>
            <w:hideMark/>
          </w:tcPr>
          <w:p w14:paraId="4F6622E8"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1</w:t>
            </w:r>
          </w:p>
        </w:tc>
        <w:tc>
          <w:tcPr>
            <w:tcW w:w="2250" w:type="dxa"/>
            <w:tcBorders>
              <w:top w:val="nil"/>
              <w:left w:val="single" w:sz="12" w:space="0" w:color="FFFFFF"/>
              <w:bottom w:val="nil"/>
              <w:right w:val="single" w:sz="4" w:space="0" w:color="auto"/>
            </w:tcBorders>
            <w:shd w:val="clear" w:color="auto" w:fill="E9E9E9"/>
            <w:vAlign w:val="center"/>
          </w:tcPr>
          <w:p w14:paraId="1C55FCC5" w14:textId="77777777" w:rsidR="00D11D71" w:rsidRPr="00BA09A3" w:rsidRDefault="00D11D71" w:rsidP="00DC192E">
            <w:pPr>
              <w:ind w:left="18"/>
              <w:jc w:val="left"/>
              <w:rPr>
                <w:rFonts w:eastAsia="MS Mincho"/>
                <w:b/>
                <w:color w:val="000000"/>
                <w:sz w:val="20"/>
                <w:szCs w:val="20"/>
              </w:rPr>
            </w:pPr>
            <w:r w:rsidRPr="00BA09A3">
              <w:rPr>
                <w:rFonts w:eastAsia="MS Mincho"/>
                <w:b/>
                <w:color w:val="000000"/>
                <w:kern w:val="24"/>
                <w:sz w:val="20"/>
                <w:szCs w:val="20"/>
              </w:rPr>
              <w:tab/>
              <w:t>2022</w:t>
            </w:r>
            <w:r w:rsidRPr="00BA09A3">
              <w:rPr>
                <w:rFonts w:eastAsia="MS Mincho"/>
                <w:b/>
                <w:color w:val="000000"/>
                <w:sz w:val="20"/>
                <w:szCs w:val="20"/>
                <w:vertAlign w:val="superscript"/>
              </w:rPr>
              <w:t xml:space="preserve"> A</w:t>
            </w:r>
          </w:p>
        </w:tc>
      </w:tr>
      <w:tr w:rsidR="00D11D71" w:rsidRPr="008720F4" w14:paraId="6F795A53"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FFFFFF"/>
            <w:tcMar>
              <w:top w:w="22" w:type="dxa"/>
              <w:left w:w="81" w:type="dxa"/>
              <w:bottom w:w="22" w:type="dxa"/>
              <w:right w:w="81" w:type="dxa"/>
            </w:tcMar>
            <w:vAlign w:val="center"/>
            <w:hideMark/>
          </w:tcPr>
          <w:p w14:paraId="7CB1E56E"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McManus</w:t>
            </w:r>
          </w:p>
        </w:tc>
        <w:tc>
          <w:tcPr>
            <w:tcW w:w="1360" w:type="dxa"/>
            <w:tcBorders>
              <w:top w:val="nil"/>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4FBBB8C7" w14:textId="77777777" w:rsidR="00D11D71" w:rsidRPr="00BA09A3" w:rsidRDefault="00D11D71" w:rsidP="00DC192E">
            <w:pPr>
              <w:jc w:val="center"/>
              <w:rPr>
                <w:rFonts w:eastAsia="MS Mincho"/>
                <w:color w:val="000000"/>
                <w:sz w:val="20"/>
                <w:szCs w:val="20"/>
              </w:rPr>
            </w:pPr>
            <w:r w:rsidRPr="00BA09A3">
              <w:rPr>
                <w:rFonts w:eastAsia="MS Mincho"/>
                <w:color w:val="000000"/>
                <w:sz w:val="20"/>
                <w:szCs w:val="20"/>
              </w:rPr>
              <w:t>1</w:t>
            </w:r>
          </w:p>
        </w:tc>
        <w:tc>
          <w:tcPr>
            <w:tcW w:w="1530" w:type="dxa"/>
            <w:tcBorders>
              <w:top w:val="nil"/>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6FAC8208" w14:textId="77777777" w:rsidR="00D11D71" w:rsidRPr="00BA09A3" w:rsidRDefault="00D11D71" w:rsidP="00DC192E">
            <w:pPr>
              <w:ind w:left="360"/>
              <w:jc w:val="center"/>
              <w:rPr>
                <w:rFonts w:eastAsia="MS Mincho"/>
                <w:color w:val="000000"/>
                <w:sz w:val="20"/>
                <w:szCs w:val="20"/>
              </w:rPr>
            </w:pPr>
          </w:p>
        </w:tc>
        <w:tc>
          <w:tcPr>
            <w:tcW w:w="1530" w:type="dxa"/>
            <w:tcBorders>
              <w:top w:val="nil"/>
              <w:left w:val="single" w:sz="12" w:space="0" w:color="FFFFFF"/>
              <w:bottom w:val="nil"/>
              <w:right w:val="single" w:sz="4" w:space="0" w:color="auto"/>
            </w:tcBorders>
            <w:shd w:val="clear" w:color="auto" w:fill="FFFFFF"/>
            <w:tcMar>
              <w:top w:w="22" w:type="dxa"/>
              <w:left w:w="81" w:type="dxa"/>
              <w:bottom w:w="22" w:type="dxa"/>
              <w:right w:w="81" w:type="dxa"/>
            </w:tcMar>
            <w:vAlign w:val="center"/>
            <w:hideMark/>
          </w:tcPr>
          <w:p w14:paraId="480561A5"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1</w:t>
            </w:r>
          </w:p>
        </w:tc>
        <w:tc>
          <w:tcPr>
            <w:tcW w:w="2250" w:type="dxa"/>
            <w:tcBorders>
              <w:top w:val="nil"/>
              <w:left w:val="single" w:sz="12" w:space="0" w:color="FFFFFF"/>
              <w:bottom w:val="nil"/>
              <w:right w:val="single" w:sz="4" w:space="0" w:color="auto"/>
            </w:tcBorders>
            <w:shd w:val="clear" w:color="auto" w:fill="FFFFFF"/>
            <w:vAlign w:val="center"/>
          </w:tcPr>
          <w:p w14:paraId="117FD0C9" w14:textId="77777777" w:rsidR="00D11D71" w:rsidRPr="00BA09A3" w:rsidRDefault="00D11D71" w:rsidP="00DC192E">
            <w:pPr>
              <w:ind w:left="18"/>
              <w:jc w:val="left"/>
              <w:rPr>
                <w:rFonts w:eastAsia="MS Mincho"/>
                <w:b/>
                <w:color w:val="000000"/>
                <w:sz w:val="20"/>
                <w:szCs w:val="20"/>
              </w:rPr>
            </w:pPr>
            <w:r w:rsidRPr="00BA09A3">
              <w:rPr>
                <w:rFonts w:eastAsia="MS Mincho"/>
                <w:b/>
                <w:color w:val="000000"/>
                <w:sz w:val="20"/>
                <w:szCs w:val="20"/>
              </w:rPr>
              <w:tab/>
              <w:t>2020</w:t>
            </w:r>
            <w:r w:rsidRPr="00BA09A3">
              <w:rPr>
                <w:rFonts w:eastAsia="MS Mincho"/>
                <w:b/>
                <w:color w:val="000000"/>
                <w:sz w:val="20"/>
                <w:szCs w:val="20"/>
                <w:vertAlign w:val="superscript"/>
              </w:rPr>
              <w:t xml:space="preserve"> A</w:t>
            </w:r>
          </w:p>
        </w:tc>
      </w:tr>
      <w:tr w:rsidR="00D11D71" w:rsidRPr="008720F4" w14:paraId="2D7ADD2F"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E9E9E9"/>
            <w:tcMar>
              <w:top w:w="22" w:type="dxa"/>
              <w:left w:w="81" w:type="dxa"/>
              <w:bottom w:w="22" w:type="dxa"/>
              <w:right w:w="81" w:type="dxa"/>
            </w:tcMar>
            <w:vAlign w:val="center"/>
            <w:hideMark/>
          </w:tcPr>
          <w:p w14:paraId="1D8B21E8"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Mitchell</w:t>
            </w:r>
          </w:p>
        </w:tc>
        <w:tc>
          <w:tcPr>
            <w:tcW w:w="1360" w:type="dxa"/>
            <w:tcBorders>
              <w:top w:val="nil"/>
              <w:left w:val="single" w:sz="12" w:space="0" w:color="FFFFFF"/>
              <w:bottom w:val="nil"/>
              <w:right w:val="single" w:sz="12" w:space="0" w:color="FFFFFF"/>
            </w:tcBorders>
            <w:shd w:val="clear" w:color="auto" w:fill="E9E9E9"/>
            <w:tcMar>
              <w:top w:w="22" w:type="dxa"/>
              <w:left w:w="81" w:type="dxa"/>
              <w:bottom w:w="22" w:type="dxa"/>
              <w:right w:w="81" w:type="dxa"/>
            </w:tcMar>
            <w:vAlign w:val="center"/>
            <w:hideMark/>
          </w:tcPr>
          <w:p w14:paraId="7DA08F94" w14:textId="77777777" w:rsidR="00D11D71" w:rsidRPr="00BA09A3" w:rsidRDefault="00D11D71" w:rsidP="00DC192E">
            <w:pPr>
              <w:jc w:val="center"/>
              <w:rPr>
                <w:rFonts w:eastAsia="MS Mincho"/>
                <w:color w:val="000000"/>
                <w:sz w:val="20"/>
                <w:szCs w:val="20"/>
              </w:rPr>
            </w:pPr>
            <w:r w:rsidRPr="00BA09A3">
              <w:rPr>
                <w:rFonts w:eastAsia="MS Mincho"/>
                <w:color w:val="000000"/>
                <w:sz w:val="20"/>
                <w:szCs w:val="20"/>
              </w:rPr>
              <w:t>3</w:t>
            </w:r>
          </w:p>
        </w:tc>
        <w:tc>
          <w:tcPr>
            <w:tcW w:w="1530" w:type="dxa"/>
            <w:tcBorders>
              <w:top w:val="nil"/>
              <w:left w:val="single" w:sz="12" w:space="0" w:color="FFFFFF"/>
              <w:bottom w:val="nil"/>
              <w:right w:val="single" w:sz="12" w:space="0" w:color="FFFFFF"/>
            </w:tcBorders>
            <w:shd w:val="clear" w:color="auto" w:fill="E9E9E9"/>
            <w:tcMar>
              <w:top w:w="22" w:type="dxa"/>
              <w:left w:w="81" w:type="dxa"/>
              <w:bottom w:w="22" w:type="dxa"/>
              <w:right w:w="81" w:type="dxa"/>
            </w:tcMar>
            <w:vAlign w:val="center"/>
            <w:hideMark/>
          </w:tcPr>
          <w:p w14:paraId="13B119DA" w14:textId="77777777" w:rsidR="00D11D71" w:rsidRPr="00BA09A3" w:rsidRDefault="00D11D71" w:rsidP="00DC192E">
            <w:pPr>
              <w:ind w:left="360"/>
              <w:jc w:val="center"/>
              <w:rPr>
                <w:rFonts w:eastAsia="MS Mincho"/>
                <w:color w:val="000000"/>
                <w:sz w:val="20"/>
                <w:szCs w:val="20"/>
              </w:rPr>
            </w:pPr>
          </w:p>
        </w:tc>
        <w:tc>
          <w:tcPr>
            <w:tcW w:w="1530" w:type="dxa"/>
            <w:tcBorders>
              <w:top w:val="nil"/>
              <w:left w:val="single" w:sz="12" w:space="0" w:color="FFFFFF"/>
              <w:bottom w:val="nil"/>
              <w:right w:val="single" w:sz="4" w:space="0" w:color="auto"/>
            </w:tcBorders>
            <w:shd w:val="clear" w:color="auto" w:fill="E9E9E9"/>
            <w:tcMar>
              <w:top w:w="22" w:type="dxa"/>
              <w:left w:w="81" w:type="dxa"/>
              <w:bottom w:w="22" w:type="dxa"/>
              <w:right w:w="81" w:type="dxa"/>
            </w:tcMar>
            <w:vAlign w:val="center"/>
            <w:hideMark/>
          </w:tcPr>
          <w:p w14:paraId="0C39880E" w14:textId="77777777" w:rsidR="00D11D71" w:rsidRPr="00BA09A3" w:rsidRDefault="00D11D71" w:rsidP="00DC192E">
            <w:pPr>
              <w:jc w:val="center"/>
              <w:rPr>
                <w:rFonts w:eastAsia="MS Mincho"/>
                <w:color w:val="000000"/>
                <w:sz w:val="20"/>
                <w:szCs w:val="20"/>
              </w:rPr>
            </w:pPr>
            <w:r w:rsidRPr="00BA09A3">
              <w:rPr>
                <w:rFonts w:eastAsia="MS Mincho"/>
                <w:b/>
                <w:bCs/>
                <w:color w:val="000000"/>
                <w:sz w:val="20"/>
                <w:szCs w:val="20"/>
              </w:rPr>
              <w:t>3</w:t>
            </w:r>
          </w:p>
        </w:tc>
        <w:tc>
          <w:tcPr>
            <w:tcW w:w="2250" w:type="dxa"/>
            <w:tcBorders>
              <w:top w:val="nil"/>
              <w:left w:val="single" w:sz="12" w:space="0" w:color="FFFFFF"/>
              <w:bottom w:val="nil"/>
              <w:right w:val="single" w:sz="4" w:space="0" w:color="auto"/>
            </w:tcBorders>
            <w:shd w:val="clear" w:color="auto" w:fill="E9E9E9"/>
            <w:vAlign w:val="center"/>
          </w:tcPr>
          <w:p w14:paraId="16253BFC" w14:textId="77777777" w:rsidR="00D11D71" w:rsidRPr="00BA09A3" w:rsidRDefault="00D11D71" w:rsidP="00DC192E">
            <w:pPr>
              <w:jc w:val="left"/>
              <w:rPr>
                <w:rFonts w:eastAsia="MS Mincho"/>
                <w:b/>
                <w:color w:val="000000"/>
                <w:sz w:val="20"/>
                <w:szCs w:val="20"/>
              </w:rPr>
            </w:pPr>
            <w:r w:rsidRPr="00BA09A3">
              <w:rPr>
                <w:rFonts w:eastAsia="MS Mincho"/>
                <w:b/>
                <w:color w:val="000000"/>
                <w:kern w:val="24"/>
                <w:sz w:val="20"/>
                <w:szCs w:val="20"/>
              </w:rPr>
              <w:tab/>
              <w:t>2030</w:t>
            </w:r>
          </w:p>
        </w:tc>
      </w:tr>
      <w:tr w:rsidR="00D11D71" w:rsidRPr="008720F4" w14:paraId="0545CC9C"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FFFFFF"/>
            <w:tcMar>
              <w:top w:w="22" w:type="dxa"/>
              <w:left w:w="81" w:type="dxa"/>
              <w:bottom w:w="22" w:type="dxa"/>
              <w:right w:w="81" w:type="dxa"/>
            </w:tcMar>
            <w:vAlign w:val="center"/>
            <w:hideMark/>
          </w:tcPr>
          <w:p w14:paraId="5D84151C"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Scherer</w:t>
            </w:r>
          </w:p>
        </w:tc>
        <w:tc>
          <w:tcPr>
            <w:tcW w:w="1360" w:type="dxa"/>
            <w:tcBorders>
              <w:top w:val="nil"/>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2F2AC67D" w14:textId="77777777" w:rsidR="00D11D71" w:rsidRPr="00BA09A3" w:rsidRDefault="00D11D71" w:rsidP="00DC192E">
            <w:pPr>
              <w:ind w:left="360"/>
              <w:jc w:val="center"/>
              <w:rPr>
                <w:rFonts w:eastAsia="MS Mincho"/>
                <w:color w:val="000000"/>
                <w:sz w:val="20"/>
                <w:szCs w:val="20"/>
              </w:rPr>
            </w:pPr>
          </w:p>
        </w:tc>
        <w:tc>
          <w:tcPr>
            <w:tcW w:w="1530" w:type="dxa"/>
            <w:tcBorders>
              <w:top w:val="nil"/>
              <w:left w:val="single" w:sz="12" w:space="0" w:color="FFFFFF"/>
              <w:bottom w:val="nil"/>
              <w:right w:val="single" w:sz="12" w:space="0" w:color="FFFFFF"/>
            </w:tcBorders>
            <w:shd w:val="clear" w:color="auto" w:fill="FFFFFF"/>
            <w:tcMar>
              <w:top w:w="22" w:type="dxa"/>
              <w:left w:w="81" w:type="dxa"/>
              <w:bottom w:w="22" w:type="dxa"/>
              <w:right w:w="81" w:type="dxa"/>
            </w:tcMar>
            <w:vAlign w:val="center"/>
            <w:hideMark/>
          </w:tcPr>
          <w:p w14:paraId="170D71CB" w14:textId="77777777" w:rsidR="00D11D71" w:rsidRPr="00BA09A3" w:rsidRDefault="00D11D71" w:rsidP="00DC192E">
            <w:pPr>
              <w:ind w:left="18"/>
              <w:jc w:val="center"/>
              <w:rPr>
                <w:rFonts w:eastAsia="MS Mincho"/>
                <w:color w:val="000000"/>
                <w:sz w:val="20"/>
                <w:szCs w:val="20"/>
              </w:rPr>
            </w:pPr>
            <w:r w:rsidRPr="00BA09A3">
              <w:rPr>
                <w:rFonts w:eastAsia="MS Mincho"/>
                <w:color w:val="000000"/>
                <w:sz w:val="20"/>
                <w:szCs w:val="20"/>
              </w:rPr>
              <w:t>1</w:t>
            </w:r>
          </w:p>
        </w:tc>
        <w:tc>
          <w:tcPr>
            <w:tcW w:w="1530" w:type="dxa"/>
            <w:tcBorders>
              <w:top w:val="nil"/>
              <w:left w:val="single" w:sz="12" w:space="0" w:color="FFFFFF"/>
              <w:bottom w:val="nil"/>
              <w:right w:val="single" w:sz="4" w:space="0" w:color="auto"/>
            </w:tcBorders>
            <w:shd w:val="clear" w:color="auto" w:fill="FFFFFF"/>
            <w:tcMar>
              <w:top w:w="22" w:type="dxa"/>
              <w:left w:w="81" w:type="dxa"/>
              <w:bottom w:w="22" w:type="dxa"/>
              <w:right w:w="81" w:type="dxa"/>
            </w:tcMar>
            <w:vAlign w:val="center"/>
            <w:hideMark/>
          </w:tcPr>
          <w:p w14:paraId="79D33E0D" w14:textId="77777777" w:rsidR="00D11D71" w:rsidRPr="00BA09A3" w:rsidRDefault="00D11D71" w:rsidP="00DC192E">
            <w:pPr>
              <w:jc w:val="center"/>
              <w:rPr>
                <w:rFonts w:eastAsia="MS Mincho"/>
                <w:color w:val="000000"/>
                <w:sz w:val="20"/>
                <w:szCs w:val="20"/>
              </w:rPr>
            </w:pPr>
            <w:r w:rsidRPr="00BA09A3">
              <w:rPr>
                <w:rFonts w:eastAsia="MS Mincho"/>
                <w:b/>
                <w:bCs/>
                <w:color w:val="000000"/>
                <w:sz w:val="20"/>
                <w:szCs w:val="20"/>
              </w:rPr>
              <w:t>1</w:t>
            </w:r>
          </w:p>
        </w:tc>
        <w:tc>
          <w:tcPr>
            <w:tcW w:w="2250" w:type="dxa"/>
            <w:tcBorders>
              <w:top w:val="nil"/>
              <w:left w:val="single" w:sz="12" w:space="0" w:color="FFFFFF"/>
              <w:bottom w:val="nil"/>
              <w:right w:val="single" w:sz="4" w:space="0" w:color="auto"/>
            </w:tcBorders>
            <w:shd w:val="clear" w:color="auto" w:fill="FFFFFF"/>
            <w:vAlign w:val="center"/>
          </w:tcPr>
          <w:p w14:paraId="3800799A" w14:textId="77777777" w:rsidR="00D11D71" w:rsidRPr="00BA09A3" w:rsidRDefault="00D11D71" w:rsidP="00DC192E">
            <w:pPr>
              <w:jc w:val="left"/>
              <w:rPr>
                <w:rFonts w:eastAsia="MS Mincho"/>
                <w:b/>
                <w:color w:val="000000"/>
                <w:sz w:val="20"/>
                <w:szCs w:val="20"/>
              </w:rPr>
            </w:pPr>
            <w:r w:rsidRPr="00BA09A3">
              <w:rPr>
                <w:rFonts w:eastAsia="MS Mincho"/>
                <w:b/>
                <w:color w:val="000000"/>
                <w:kern w:val="24"/>
                <w:sz w:val="20"/>
                <w:szCs w:val="20"/>
              </w:rPr>
              <w:tab/>
              <w:t>2033</w:t>
            </w:r>
          </w:p>
        </w:tc>
      </w:tr>
      <w:tr w:rsidR="00D11D71" w:rsidRPr="008720F4" w14:paraId="2658504F" w14:textId="77777777" w:rsidTr="000571BA">
        <w:trPr>
          <w:trHeight w:hRule="exact" w:val="288"/>
          <w:jc w:val="center"/>
        </w:trPr>
        <w:tc>
          <w:tcPr>
            <w:tcW w:w="1785" w:type="dxa"/>
            <w:tcBorders>
              <w:top w:val="nil"/>
              <w:left w:val="single" w:sz="4" w:space="0" w:color="auto"/>
              <w:bottom w:val="nil"/>
              <w:right w:val="single" w:sz="12" w:space="0" w:color="FFFFFF"/>
            </w:tcBorders>
            <w:shd w:val="clear" w:color="auto" w:fill="E9E9E9"/>
            <w:tcMar>
              <w:top w:w="22" w:type="dxa"/>
              <w:left w:w="81" w:type="dxa"/>
              <w:bottom w:w="22" w:type="dxa"/>
              <w:right w:w="81" w:type="dxa"/>
            </w:tcMar>
            <w:vAlign w:val="center"/>
            <w:hideMark/>
          </w:tcPr>
          <w:p w14:paraId="61C730F8"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Wansley</w:t>
            </w:r>
          </w:p>
        </w:tc>
        <w:tc>
          <w:tcPr>
            <w:tcW w:w="1360" w:type="dxa"/>
            <w:tcBorders>
              <w:top w:val="nil"/>
              <w:left w:val="single" w:sz="12" w:space="0" w:color="FFFFFF"/>
              <w:bottom w:val="nil"/>
              <w:right w:val="single" w:sz="12" w:space="0" w:color="FFFFFF"/>
            </w:tcBorders>
            <w:shd w:val="clear" w:color="auto" w:fill="E9E9E9"/>
            <w:tcMar>
              <w:top w:w="22" w:type="dxa"/>
              <w:left w:w="81" w:type="dxa"/>
              <w:bottom w:w="22" w:type="dxa"/>
              <w:right w:w="81" w:type="dxa"/>
            </w:tcMar>
            <w:vAlign w:val="center"/>
            <w:hideMark/>
          </w:tcPr>
          <w:p w14:paraId="31AE920E" w14:textId="77777777" w:rsidR="00D11D71" w:rsidRPr="00BA09A3" w:rsidRDefault="00D11D71" w:rsidP="00DC192E">
            <w:pPr>
              <w:jc w:val="center"/>
              <w:rPr>
                <w:rFonts w:eastAsia="MS Mincho"/>
                <w:color w:val="000000"/>
                <w:sz w:val="20"/>
                <w:szCs w:val="20"/>
              </w:rPr>
            </w:pPr>
            <w:r w:rsidRPr="00BA09A3">
              <w:rPr>
                <w:rFonts w:eastAsia="MS Mincho"/>
                <w:color w:val="000000"/>
                <w:sz w:val="20"/>
                <w:szCs w:val="20"/>
              </w:rPr>
              <w:t>1</w:t>
            </w:r>
          </w:p>
        </w:tc>
        <w:tc>
          <w:tcPr>
            <w:tcW w:w="1530" w:type="dxa"/>
            <w:tcBorders>
              <w:top w:val="nil"/>
              <w:left w:val="single" w:sz="12" w:space="0" w:color="FFFFFF"/>
              <w:bottom w:val="nil"/>
              <w:right w:val="single" w:sz="12" w:space="0" w:color="FFFFFF"/>
            </w:tcBorders>
            <w:shd w:val="clear" w:color="auto" w:fill="E9E9E9"/>
            <w:tcMar>
              <w:top w:w="22" w:type="dxa"/>
              <w:left w:w="81" w:type="dxa"/>
              <w:bottom w:w="22" w:type="dxa"/>
              <w:right w:w="81" w:type="dxa"/>
            </w:tcMar>
            <w:vAlign w:val="center"/>
            <w:hideMark/>
          </w:tcPr>
          <w:p w14:paraId="1125F583" w14:textId="77777777" w:rsidR="00D11D71" w:rsidRPr="00BA09A3" w:rsidRDefault="00D11D71" w:rsidP="00DC192E">
            <w:pPr>
              <w:ind w:left="18"/>
              <w:jc w:val="center"/>
              <w:rPr>
                <w:rFonts w:eastAsia="MS Mincho"/>
                <w:color w:val="000000"/>
                <w:sz w:val="20"/>
                <w:szCs w:val="20"/>
              </w:rPr>
            </w:pPr>
          </w:p>
        </w:tc>
        <w:tc>
          <w:tcPr>
            <w:tcW w:w="1530" w:type="dxa"/>
            <w:tcBorders>
              <w:top w:val="nil"/>
              <w:left w:val="single" w:sz="12" w:space="0" w:color="FFFFFF"/>
              <w:bottom w:val="nil"/>
              <w:right w:val="single" w:sz="4" w:space="0" w:color="auto"/>
            </w:tcBorders>
            <w:shd w:val="clear" w:color="auto" w:fill="E9E9E9"/>
            <w:tcMar>
              <w:top w:w="22" w:type="dxa"/>
              <w:left w:w="81" w:type="dxa"/>
              <w:bottom w:w="22" w:type="dxa"/>
              <w:right w:w="81" w:type="dxa"/>
            </w:tcMar>
            <w:vAlign w:val="center"/>
            <w:hideMark/>
          </w:tcPr>
          <w:p w14:paraId="78484E92"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1</w:t>
            </w:r>
          </w:p>
        </w:tc>
        <w:tc>
          <w:tcPr>
            <w:tcW w:w="2250" w:type="dxa"/>
            <w:tcBorders>
              <w:top w:val="nil"/>
              <w:left w:val="single" w:sz="12" w:space="0" w:color="FFFFFF"/>
              <w:bottom w:val="nil"/>
              <w:right w:val="single" w:sz="4" w:space="0" w:color="auto"/>
            </w:tcBorders>
            <w:shd w:val="clear" w:color="auto" w:fill="E9E9E9"/>
            <w:vAlign w:val="center"/>
          </w:tcPr>
          <w:p w14:paraId="08FB28C9" w14:textId="77777777" w:rsidR="00D11D71" w:rsidRPr="00BA09A3" w:rsidRDefault="00D11D71" w:rsidP="00DC192E">
            <w:pPr>
              <w:ind w:left="18"/>
              <w:jc w:val="left"/>
              <w:rPr>
                <w:rFonts w:eastAsia="MS Mincho"/>
                <w:b/>
                <w:color w:val="000000"/>
                <w:sz w:val="20"/>
                <w:szCs w:val="20"/>
              </w:rPr>
            </w:pPr>
            <w:r w:rsidRPr="00BA09A3">
              <w:rPr>
                <w:rFonts w:eastAsia="MS Mincho"/>
                <w:b/>
                <w:color w:val="000000"/>
                <w:kern w:val="24"/>
                <w:sz w:val="20"/>
                <w:szCs w:val="20"/>
              </w:rPr>
              <w:tab/>
              <w:t>2034</w:t>
            </w:r>
          </w:p>
        </w:tc>
      </w:tr>
      <w:tr w:rsidR="00D11D71" w:rsidRPr="008720F4" w14:paraId="08EFF9CC" w14:textId="77777777" w:rsidTr="000571BA">
        <w:trPr>
          <w:trHeight w:hRule="exact" w:val="288"/>
          <w:jc w:val="center"/>
        </w:trPr>
        <w:tc>
          <w:tcPr>
            <w:tcW w:w="1785" w:type="dxa"/>
            <w:tcBorders>
              <w:top w:val="nil"/>
              <w:left w:val="single" w:sz="4" w:space="0" w:color="auto"/>
              <w:bottom w:val="single" w:sz="18" w:space="0" w:color="707070"/>
              <w:right w:val="single" w:sz="12" w:space="0" w:color="FFFFFF"/>
            </w:tcBorders>
            <w:shd w:val="clear" w:color="auto" w:fill="FFFFFF"/>
            <w:tcMar>
              <w:top w:w="22" w:type="dxa"/>
              <w:left w:w="81" w:type="dxa"/>
              <w:bottom w:w="22" w:type="dxa"/>
              <w:right w:w="81" w:type="dxa"/>
            </w:tcMar>
            <w:vAlign w:val="center"/>
            <w:hideMark/>
          </w:tcPr>
          <w:p w14:paraId="250D9D66" w14:textId="77777777" w:rsidR="00D11D71" w:rsidRPr="00BA09A3" w:rsidRDefault="00D11D71" w:rsidP="00DC192E">
            <w:pPr>
              <w:rPr>
                <w:rFonts w:eastAsia="MS Mincho"/>
                <w:color w:val="000000"/>
                <w:sz w:val="20"/>
                <w:szCs w:val="20"/>
              </w:rPr>
            </w:pPr>
            <w:r w:rsidRPr="00BA09A3">
              <w:rPr>
                <w:rFonts w:eastAsia="MS Mincho"/>
                <w:b/>
                <w:bCs/>
                <w:color w:val="000000"/>
                <w:sz w:val="20"/>
                <w:szCs w:val="20"/>
              </w:rPr>
              <w:t>Yates</w:t>
            </w:r>
          </w:p>
        </w:tc>
        <w:tc>
          <w:tcPr>
            <w:tcW w:w="1360" w:type="dxa"/>
            <w:tcBorders>
              <w:top w:val="nil"/>
              <w:left w:val="single" w:sz="12" w:space="0" w:color="FFFFFF"/>
              <w:bottom w:val="single" w:sz="18" w:space="0" w:color="707070"/>
              <w:right w:val="single" w:sz="12" w:space="0" w:color="FFFFFF"/>
            </w:tcBorders>
            <w:shd w:val="clear" w:color="auto" w:fill="FFFFFF"/>
            <w:tcMar>
              <w:top w:w="22" w:type="dxa"/>
              <w:left w:w="81" w:type="dxa"/>
              <w:bottom w:w="22" w:type="dxa"/>
              <w:right w:w="81" w:type="dxa"/>
            </w:tcMar>
            <w:vAlign w:val="center"/>
            <w:hideMark/>
          </w:tcPr>
          <w:p w14:paraId="165C1C76" w14:textId="77777777" w:rsidR="00D11D71" w:rsidRPr="00BA09A3" w:rsidRDefault="00D11D71" w:rsidP="00362900">
            <w:pPr>
              <w:ind w:left="86"/>
              <w:jc w:val="center"/>
              <w:rPr>
                <w:rFonts w:eastAsia="MS Mincho"/>
                <w:color w:val="000000"/>
                <w:sz w:val="20"/>
                <w:szCs w:val="20"/>
              </w:rPr>
            </w:pPr>
            <w:r w:rsidRPr="00BA09A3">
              <w:rPr>
                <w:rFonts w:eastAsia="MS Mincho"/>
                <w:color w:val="000000"/>
                <w:sz w:val="20"/>
                <w:szCs w:val="20"/>
              </w:rPr>
              <w:t>5</w:t>
            </w:r>
          </w:p>
        </w:tc>
        <w:tc>
          <w:tcPr>
            <w:tcW w:w="1530" w:type="dxa"/>
            <w:tcBorders>
              <w:top w:val="nil"/>
              <w:left w:val="single" w:sz="12" w:space="0" w:color="FFFFFF"/>
              <w:bottom w:val="single" w:sz="18" w:space="0" w:color="707070"/>
              <w:right w:val="single" w:sz="12" w:space="0" w:color="FFFFFF"/>
            </w:tcBorders>
            <w:shd w:val="clear" w:color="auto" w:fill="FFFFFF"/>
            <w:tcMar>
              <w:top w:w="22" w:type="dxa"/>
              <w:left w:w="81" w:type="dxa"/>
              <w:bottom w:w="22" w:type="dxa"/>
              <w:right w:w="81" w:type="dxa"/>
            </w:tcMar>
            <w:vAlign w:val="center"/>
            <w:hideMark/>
          </w:tcPr>
          <w:p w14:paraId="66BC9C81" w14:textId="77777777" w:rsidR="00D11D71" w:rsidRPr="00BA09A3" w:rsidRDefault="00D11D71" w:rsidP="00362900">
            <w:pPr>
              <w:ind w:left="18"/>
              <w:jc w:val="center"/>
              <w:rPr>
                <w:rFonts w:eastAsia="MS Mincho"/>
                <w:color w:val="000000"/>
                <w:sz w:val="20"/>
                <w:szCs w:val="20"/>
              </w:rPr>
            </w:pPr>
            <w:r w:rsidRPr="00BA09A3">
              <w:rPr>
                <w:rFonts w:eastAsia="MS Mincho"/>
                <w:color w:val="000000"/>
                <w:sz w:val="20"/>
                <w:szCs w:val="20"/>
              </w:rPr>
              <w:t>2</w:t>
            </w:r>
          </w:p>
        </w:tc>
        <w:tc>
          <w:tcPr>
            <w:tcW w:w="1530" w:type="dxa"/>
            <w:tcBorders>
              <w:top w:val="nil"/>
              <w:left w:val="single" w:sz="12" w:space="0" w:color="FFFFFF"/>
              <w:bottom w:val="single" w:sz="18" w:space="0" w:color="707070"/>
              <w:right w:val="single" w:sz="4" w:space="0" w:color="auto"/>
            </w:tcBorders>
            <w:shd w:val="clear" w:color="auto" w:fill="FFFFFF"/>
            <w:tcMar>
              <w:top w:w="22" w:type="dxa"/>
              <w:left w:w="81" w:type="dxa"/>
              <w:bottom w:w="22" w:type="dxa"/>
              <w:right w:w="81" w:type="dxa"/>
            </w:tcMar>
            <w:vAlign w:val="center"/>
            <w:hideMark/>
          </w:tcPr>
          <w:p w14:paraId="6CCCDF32"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7</w:t>
            </w:r>
          </w:p>
        </w:tc>
        <w:tc>
          <w:tcPr>
            <w:tcW w:w="2250" w:type="dxa"/>
            <w:tcBorders>
              <w:top w:val="nil"/>
              <w:left w:val="single" w:sz="12" w:space="0" w:color="FFFFFF"/>
              <w:bottom w:val="single" w:sz="18" w:space="0" w:color="707070"/>
              <w:right w:val="single" w:sz="4" w:space="0" w:color="auto"/>
            </w:tcBorders>
            <w:shd w:val="clear" w:color="auto" w:fill="FFFFFF"/>
            <w:vAlign w:val="center"/>
          </w:tcPr>
          <w:p w14:paraId="0A9B754E" w14:textId="77777777" w:rsidR="00D11D71" w:rsidRPr="00BA09A3" w:rsidRDefault="00D11D71" w:rsidP="00DC192E">
            <w:pPr>
              <w:ind w:left="18"/>
              <w:jc w:val="left"/>
              <w:rPr>
                <w:rFonts w:eastAsia="MS Mincho"/>
                <w:b/>
                <w:color w:val="000000"/>
                <w:sz w:val="20"/>
                <w:szCs w:val="20"/>
              </w:rPr>
            </w:pPr>
            <w:r w:rsidRPr="00BA09A3">
              <w:rPr>
                <w:rFonts w:eastAsia="MS Mincho"/>
                <w:b/>
                <w:bCs/>
                <w:color w:val="000000"/>
                <w:kern w:val="24"/>
                <w:sz w:val="20"/>
                <w:szCs w:val="20"/>
              </w:rPr>
              <w:tab/>
              <w:t>2024</w:t>
            </w:r>
          </w:p>
        </w:tc>
      </w:tr>
      <w:tr w:rsidR="00D11D71" w:rsidRPr="008720F4" w14:paraId="3737DC02" w14:textId="77777777" w:rsidTr="00BA09A3">
        <w:trPr>
          <w:trHeight w:hRule="exact" w:val="358"/>
          <w:jc w:val="center"/>
        </w:trPr>
        <w:tc>
          <w:tcPr>
            <w:tcW w:w="1785" w:type="dxa"/>
            <w:tcBorders>
              <w:top w:val="single" w:sz="18" w:space="0" w:color="707070"/>
              <w:left w:val="single" w:sz="4" w:space="0" w:color="auto"/>
              <w:bottom w:val="single" w:sz="4" w:space="0" w:color="auto"/>
              <w:right w:val="single" w:sz="12" w:space="0" w:color="FFFFFF"/>
            </w:tcBorders>
            <w:shd w:val="clear" w:color="auto" w:fill="E9E9E9"/>
            <w:tcMar>
              <w:top w:w="22" w:type="dxa"/>
              <w:left w:w="81" w:type="dxa"/>
              <w:bottom w:w="22" w:type="dxa"/>
              <w:right w:w="81" w:type="dxa"/>
            </w:tcMar>
            <w:vAlign w:val="center"/>
            <w:hideMark/>
          </w:tcPr>
          <w:p w14:paraId="794EAD05" w14:textId="77777777" w:rsidR="00D11D71" w:rsidRPr="00BA09A3" w:rsidRDefault="00D11D71" w:rsidP="00DC192E">
            <w:pPr>
              <w:ind w:left="360"/>
              <w:jc w:val="center"/>
              <w:rPr>
                <w:rFonts w:eastAsia="MS Mincho"/>
                <w:color w:val="000000"/>
                <w:sz w:val="20"/>
                <w:szCs w:val="20"/>
              </w:rPr>
            </w:pPr>
          </w:p>
        </w:tc>
        <w:tc>
          <w:tcPr>
            <w:tcW w:w="1360" w:type="dxa"/>
            <w:tcBorders>
              <w:top w:val="single" w:sz="18" w:space="0" w:color="707070"/>
              <w:left w:val="single" w:sz="12" w:space="0" w:color="FFFFFF"/>
              <w:bottom w:val="single" w:sz="4" w:space="0" w:color="auto"/>
              <w:right w:val="single" w:sz="12" w:space="0" w:color="FFFFFF"/>
            </w:tcBorders>
            <w:shd w:val="clear" w:color="auto" w:fill="E9E9E9"/>
            <w:tcMar>
              <w:top w:w="43" w:type="dxa"/>
              <w:left w:w="81" w:type="dxa"/>
              <w:bottom w:w="22" w:type="dxa"/>
              <w:right w:w="81" w:type="dxa"/>
            </w:tcMar>
            <w:vAlign w:val="center"/>
            <w:hideMark/>
          </w:tcPr>
          <w:p w14:paraId="5A509592" w14:textId="77777777" w:rsidR="00D11D71" w:rsidRPr="00BA09A3" w:rsidRDefault="00D11D71" w:rsidP="00DC192E">
            <w:pPr>
              <w:jc w:val="center"/>
              <w:rPr>
                <w:rFonts w:eastAsia="MS Mincho"/>
                <w:color w:val="000000"/>
                <w:sz w:val="20"/>
                <w:szCs w:val="20"/>
              </w:rPr>
            </w:pPr>
            <w:r w:rsidRPr="00BA09A3">
              <w:rPr>
                <w:rFonts w:eastAsia="MS Mincho"/>
                <w:color w:val="000000"/>
                <w:sz w:val="20"/>
                <w:szCs w:val="20"/>
              </w:rPr>
              <w:t>20</w:t>
            </w:r>
          </w:p>
        </w:tc>
        <w:tc>
          <w:tcPr>
            <w:tcW w:w="1530" w:type="dxa"/>
            <w:tcBorders>
              <w:top w:val="single" w:sz="18" w:space="0" w:color="707070"/>
              <w:left w:val="single" w:sz="12" w:space="0" w:color="FFFFFF"/>
              <w:bottom w:val="single" w:sz="4" w:space="0" w:color="auto"/>
              <w:right w:val="single" w:sz="12" w:space="0" w:color="FFFFFF"/>
            </w:tcBorders>
            <w:shd w:val="clear" w:color="auto" w:fill="E9E9E9"/>
            <w:tcMar>
              <w:top w:w="43" w:type="dxa"/>
              <w:left w:w="81" w:type="dxa"/>
              <w:bottom w:w="22" w:type="dxa"/>
              <w:right w:w="81" w:type="dxa"/>
            </w:tcMar>
            <w:vAlign w:val="center"/>
            <w:hideMark/>
          </w:tcPr>
          <w:p w14:paraId="6086EC83" w14:textId="77777777" w:rsidR="00D11D71" w:rsidRPr="00BA09A3" w:rsidRDefault="00D11D71" w:rsidP="00DC192E">
            <w:pPr>
              <w:ind w:left="18"/>
              <w:jc w:val="center"/>
              <w:rPr>
                <w:rFonts w:eastAsia="MS Mincho"/>
                <w:color w:val="000000"/>
                <w:sz w:val="20"/>
                <w:szCs w:val="20"/>
              </w:rPr>
            </w:pPr>
            <w:r w:rsidRPr="00BA09A3">
              <w:rPr>
                <w:rFonts w:eastAsia="MS Mincho"/>
                <w:color w:val="000000"/>
                <w:sz w:val="20"/>
                <w:szCs w:val="20"/>
              </w:rPr>
              <w:t>9</w:t>
            </w:r>
          </w:p>
        </w:tc>
        <w:tc>
          <w:tcPr>
            <w:tcW w:w="1530" w:type="dxa"/>
            <w:tcBorders>
              <w:top w:val="single" w:sz="18" w:space="0" w:color="707070"/>
              <w:left w:val="single" w:sz="12" w:space="0" w:color="FFFFFF"/>
              <w:bottom w:val="single" w:sz="4" w:space="0" w:color="auto"/>
              <w:right w:val="single" w:sz="4" w:space="0" w:color="auto"/>
            </w:tcBorders>
            <w:shd w:val="clear" w:color="auto" w:fill="E9E9E9"/>
            <w:tcMar>
              <w:top w:w="43" w:type="dxa"/>
              <w:left w:w="81" w:type="dxa"/>
              <w:bottom w:w="22" w:type="dxa"/>
              <w:right w:w="81" w:type="dxa"/>
            </w:tcMar>
            <w:vAlign w:val="center"/>
            <w:hideMark/>
          </w:tcPr>
          <w:p w14:paraId="332C3BB3" w14:textId="77777777" w:rsidR="00D11D71" w:rsidRPr="00BA09A3" w:rsidRDefault="00D11D71" w:rsidP="00DC192E">
            <w:pPr>
              <w:ind w:left="18"/>
              <w:jc w:val="center"/>
              <w:rPr>
                <w:rFonts w:eastAsia="MS Mincho"/>
                <w:color w:val="000000"/>
                <w:sz w:val="20"/>
                <w:szCs w:val="20"/>
              </w:rPr>
            </w:pPr>
            <w:r w:rsidRPr="00BA09A3">
              <w:rPr>
                <w:rFonts w:eastAsia="MS Mincho"/>
                <w:b/>
                <w:bCs/>
                <w:color w:val="000000"/>
                <w:sz w:val="20"/>
                <w:szCs w:val="20"/>
              </w:rPr>
              <w:t>29</w:t>
            </w:r>
          </w:p>
        </w:tc>
        <w:tc>
          <w:tcPr>
            <w:tcW w:w="2250" w:type="dxa"/>
            <w:tcBorders>
              <w:top w:val="single" w:sz="18" w:space="0" w:color="707070"/>
              <w:left w:val="single" w:sz="12" w:space="0" w:color="FFFFFF"/>
              <w:bottom w:val="single" w:sz="4" w:space="0" w:color="auto"/>
              <w:right w:val="single" w:sz="4" w:space="0" w:color="auto"/>
            </w:tcBorders>
            <w:shd w:val="clear" w:color="auto" w:fill="E9E9E9"/>
            <w:vAlign w:val="center"/>
          </w:tcPr>
          <w:p w14:paraId="42FB2143" w14:textId="77777777" w:rsidR="00D11D71" w:rsidRPr="00BA09A3" w:rsidRDefault="00D11D71" w:rsidP="00DC192E">
            <w:pPr>
              <w:ind w:left="18"/>
              <w:jc w:val="center"/>
              <w:rPr>
                <w:rFonts w:eastAsia="MS Mincho"/>
                <w:b/>
                <w:bCs/>
                <w:color w:val="000000"/>
                <w:sz w:val="20"/>
                <w:szCs w:val="20"/>
              </w:rPr>
            </w:pPr>
          </w:p>
        </w:tc>
      </w:tr>
    </w:tbl>
    <w:p w14:paraId="204AC58A" w14:textId="1C02BD70" w:rsidR="00D11D71" w:rsidRPr="005A02A7" w:rsidRDefault="00D11D71" w:rsidP="005A02A7">
      <w:pPr>
        <w:spacing w:after="0" w:line="240" w:lineRule="auto"/>
        <w:ind w:left="446" w:right="450"/>
        <w:rPr>
          <w:rFonts w:eastAsia="MS Mincho"/>
          <w:i/>
          <w:iCs/>
          <w:sz w:val="16"/>
          <w:szCs w:val="16"/>
        </w:rPr>
      </w:pPr>
      <w:r w:rsidRPr="005A02A7">
        <w:rPr>
          <w:rFonts w:eastAsia="MS Mincho"/>
          <w:i/>
          <w:iCs/>
          <w:sz w:val="16"/>
          <w:szCs w:val="16"/>
          <w:vertAlign w:val="superscript"/>
        </w:rPr>
        <w:t>1</w:t>
      </w:r>
      <w:r w:rsidRPr="005A02A7">
        <w:rPr>
          <w:rFonts w:eastAsia="MS Mincho"/>
          <w:i/>
          <w:iCs/>
          <w:sz w:val="16"/>
          <w:szCs w:val="16"/>
        </w:rPr>
        <w:t xml:space="preserve"> For those sites with multiple ash ponds, the date above reflects the last pond’s estimated closure</w:t>
      </w:r>
      <w:r w:rsidR="005A02A7" w:rsidRPr="005A02A7">
        <w:rPr>
          <w:rFonts w:eastAsia="MS Mincho"/>
          <w:i/>
          <w:iCs/>
          <w:sz w:val="16"/>
          <w:szCs w:val="16"/>
        </w:rPr>
        <w:t xml:space="preserve"> </w:t>
      </w:r>
      <w:r w:rsidRPr="005A02A7">
        <w:rPr>
          <w:rFonts w:eastAsia="MS Mincho"/>
          <w:i/>
          <w:iCs/>
          <w:sz w:val="16"/>
          <w:szCs w:val="16"/>
        </w:rPr>
        <w:t>construction completion date for the site in total.</w:t>
      </w:r>
      <w:r w:rsidRPr="005A02A7" w:rsidDel="00B343C8">
        <w:rPr>
          <w:rFonts w:eastAsia="MS Mincho"/>
          <w:i/>
          <w:iCs/>
          <w:sz w:val="16"/>
          <w:szCs w:val="16"/>
        </w:rPr>
        <w:t xml:space="preserve"> </w:t>
      </w:r>
      <w:r w:rsidRPr="005A02A7">
        <w:rPr>
          <w:rFonts w:eastAsia="MS Mincho"/>
          <w:i/>
          <w:iCs/>
          <w:sz w:val="16"/>
          <w:szCs w:val="16"/>
        </w:rPr>
        <w:t>The “Estimated Closure Construction Completion” date reflects the estimated end of closure construction and estimated completion of major restoration activities that may go beyond the submittal of the Closure Certification Report or the Certification of Removal Report.</w:t>
      </w:r>
      <w:r w:rsidRPr="005A02A7" w:rsidDel="00A81BB0">
        <w:rPr>
          <w:rFonts w:eastAsia="MS Mincho"/>
          <w:i/>
          <w:iCs/>
          <w:sz w:val="16"/>
          <w:szCs w:val="16"/>
        </w:rPr>
        <w:t xml:space="preserve"> </w:t>
      </w:r>
    </w:p>
    <w:p w14:paraId="6F88F381" w14:textId="77777777" w:rsidR="00D11D71" w:rsidRPr="005A02A7" w:rsidRDefault="00D11D71" w:rsidP="005A02A7">
      <w:pPr>
        <w:spacing w:after="0" w:line="240" w:lineRule="auto"/>
        <w:ind w:left="446"/>
        <w:rPr>
          <w:rFonts w:eastAsia="MS Mincho"/>
          <w:i/>
          <w:iCs/>
          <w:sz w:val="16"/>
          <w:szCs w:val="16"/>
        </w:rPr>
      </w:pPr>
      <w:r w:rsidRPr="005A02A7">
        <w:rPr>
          <w:rFonts w:eastAsia="MS Mincho"/>
          <w:i/>
          <w:iCs/>
          <w:sz w:val="16"/>
          <w:szCs w:val="16"/>
          <w:vertAlign w:val="superscript"/>
        </w:rPr>
        <w:t>A</w:t>
      </w:r>
      <w:r w:rsidRPr="005A02A7">
        <w:rPr>
          <w:rFonts w:eastAsia="MS Mincho"/>
          <w:i/>
          <w:iCs/>
          <w:sz w:val="16"/>
          <w:szCs w:val="16"/>
        </w:rPr>
        <w:t xml:space="preserve"> Denotes actual closure construction completion date.</w:t>
      </w:r>
    </w:p>
    <w:p w14:paraId="6BEDCA22" w14:textId="77777777" w:rsidR="00A044F6" w:rsidRDefault="00A044F6" w:rsidP="00A044F6">
      <w:pPr>
        <w:spacing w:after="0" w:line="240" w:lineRule="auto"/>
        <w:ind w:left="446"/>
        <w:rPr>
          <w:rFonts w:eastAsia="MS Mincho"/>
          <w:i/>
          <w:iCs/>
          <w:sz w:val="20"/>
          <w:szCs w:val="20"/>
        </w:rPr>
      </w:pPr>
    </w:p>
    <w:p w14:paraId="0FA65BEB" w14:textId="1A11599A" w:rsidR="006E5698" w:rsidRDefault="006E5698" w:rsidP="00ED3D4A">
      <w:pPr>
        <w:spacing w:after="0" w:line="276" w:lineRule="auto"/>
        <w:ind w:left="288"/>
        <w:jc w:val="center"/>
        <w:rPr>
          <w:rFonts w:eastAsia="MS Mincho" w:cstheme="minorHAnsi"/>
          <w:b/>
          <w:bCs/>
          <w:sz w:val="20"/>
          <w:szCs w:val="20"/>
        </w:rPr>
      </w:pPr>
      <w:bookmarkStart w:id="13" w:name="_Ref130484156"/>
      <w:r w:rsidRPr="006E5698">
        <w:rPr>
          <w:rFonts w:eastAsia="MS Mincho" w:cstheme="minorHAnsi"/>
          <w:b/>
          <w:bCs/>
          <w:sz w:val="20"/>
          <w:szCs w:val="20"/>
        </w:rPr>
        <w:t xml:space="preserve">Table </w:t>
      </w:r>
      <w:r w:rsidRPr="006E5698">
        <w:rPr>
          <w:rFonts w:eastAsia="MS Mincho" w:cstheme="minorHAnsi"/>
          <w:b/>
          <w:bCs/>
          <w:sz w:val="20"/>
          <w:szCs w:val="20"/>
        </w:rPr>
        <w:fldChar w:fldCharType="begin"/>
      </w:r>
      <w:r w:rsidRPr="006E5698">
        <w:rPr>
          <w:rFonts w:eastAsia="MS Mincho" w:cstheme="minorHAnsi"/>
          <w:b/>
          <w:bCs/>
          <w:sz w:val="20"/>
          <w:szCs w:val="20"/>
        </w:rPr>
        <w:instrText>SEQ Table \* ARABIC</w:instrText>
      </w:r>
      <w:r w:rsidRPr="006E5698">
        <w:rPr>
          <w:rFonts w:eastAsia="MS Mincho" w:cstheme="minorHAnsi"/>
          <w:b/>
          <w:bCs/>
          <w:sz w:val="20"/>
          <w:szCs w:val="20"/>
        </w:rPr>
        <w:fldChar w:fldCharType="separate"/>
      </w:r>
      <w:r w:rsidR="0043583C">
        <w:rPr>
          <w:rFonts w:eastAsia="MS Mincho" w:cstheme="minorHAnsi"/>
          <w:b/>
          <w:bCs/>
          <w:noProof/>
          <w:sz w:val="20"/>
          <w:szCs w:val="20"/>
        </w:rPr>
        <w:t>2</w:t>
      </w:r>
      <w:r w:rsidRPr="006E5698">
        <w:rPr>
          <w:rFonts w:eastAsia="MS Mincho" w:cstheme="minorHAnsi"/>
          <w:b/>
          <w:bCs/>
          <w:sz w:val="20"/>
          <w:szCs w:val="20"/>
        </w:rPr>
        <w:fldChar w:fldCharType="end"/>
      </w:r>
      <w:bookmarkEnd w:id="13"/>
      <w:r w:rsidRPr="006E5698">
        <w:rPr>
          <w:rFonts w:eastAsia="MS Mincho" w:cstheme="minorHAnsi"/>
          <w:b/>
          <w:bCs/>
          <w:sz w:val="20"/>
          <w:szCs w:val="20"/>
        </w:rPr>
        <w:t>. Landfill Estimated Closure Construction Timeframes</w:t>
      </w:r>
    </w:p>
    <w:tbl>
      <w:tblPr>
        <w:tblW w:w="8005" w:type="dxa"/>
        <w:jc w:val="center"/>
        <w:tblCellMar>
          <w:left w:w="0" w:type="dxa"/>
          <w:right w:w="0" w:type="dxa"/>
        </w:tblCellMar>
        <w:tblLook w:val="0420" w:firstRow="1" w:lastRow="0" w:firstColumn="0" w:lastColumn="0" w:noHBand="0" w:noVBand="1"/>
      </w:tblPr>
      <w:tblGrid>
        <w:gridCol w:w="2049"/>
        <w:gridCol w:w="1410"/>
        <w:gridCol w:w="1545"/>
        <w:gridCol w:w="1347"/>
        <w:gridCol w:w="1654"/>
      </w:tblGrid>
      <w:tr w:rsidR="009E28B8" w:rsidRPr="00B225E0" w14:paraId="4DAD298B" w14:textId="77777777" w:rsidTr="009E28B8">
        <w:trPr>
          <w:trHeight w:hRule="exact" w:val="871"/>
          <w:jc w:val="center"/>
        </w:trPr>
        <w:tc>
          <w:tcPr>
            <w:tcW w:w="2049" w:type="dxa"/>
            <w:tcBorders>
              <w:top w:val="single" w:sz="12" w:space="0" w:color="FFFFFF" w:themeColor="background1"/>
              <w:left w:val="single" w:sz="4" w:space="0" w:color="auto"/>
              <w:bottom w:val="nil"/>
              <w:right w:val="single" w:sz="12" w:space="0" w:color="FFFFFF" w:themeColor="background1"/>
            </w:tcBorders>
            <w:shd w:val="clear" w:color="auto" w:fill="2F5496" w:themeFill="accent1" w:themeFillShade="BF"/>
            <w:tcMar>
              <w:top w:w="40" w:type="dxa"/>
              <w:left w:w="81" w:type="dxa"/>
              <w:bottom w:w="40" w:type="dxa"/>
              <w:right w:w="81" w:type="dxa"/>
            </w:tcMar>
            <w:hideMark/>
          </w:tcPr>
          <w:p w14:paraId="49CC6733" w14:textId="77777777" w:rsidR="009E28B8" w:rsidRPr="00BA09A3" w:rsidRDefault="009E28B8" w:rsidP="00DC192E">
            <w:pPr>
              <w:ind w:left="360"/>
              <w:rPr>
                <w:color w:val="000000"/>
                <w:sz w:val="20"/>
                <w:szCs w:val="20"/>
              </w:rPr>
            </w:pPr>
          </w:p>
        </w:tc>
        <w:tc>
          <w:tcPr>
            <w:tcW w:w="1410"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1" w:themeFillShade="BF"/>
            <w:tcMar>
              <w:top w:w="15" w:type="dxa"/>
              <w:left w:w="43" w:type="dxa"/>
              <w:bottom w:w="22" w:type="dxa"/>
              <w:right w:w="43" w:type="dxa"/>
            </w:tcMar>
            <w:vAlign w:val="center"/>
            <w:hideMark/>
          </w:tcPr>
          <w:p w14:paraId="419FFDE6" w14:textId="77777777" w:rsidR="009E28B8" w:rsidRPr="00BA09A3" w:rsidRDefault="009E28B8" w:rsidP="00DC192E">
            <w:pPr>
              <w:ind w:left="26"/>
              <w:jc w:val="center"/>
              <w:rPr>
                <w:color w:val="FFFFFF" w:themeColor="background1"/>
                <w:sz w:val="20"/>
                <w:szCs w:val="20"/>
              </w:rPr>
            </w:pPr>
            <w:r w:rsidRPr="00BA09A3">
              <w:rPr>
                <w:b/>
                <w:bCs/>
                <w:color w:val="FFFFFF" w:themeColor="background1"/>
                <w:sz w:val="20"/>
                <w:szCs w:val="20"/>
              </w:rPr>
              <w:t>Existing CCR Landfills</w:t>
            </w:r>
          </w:p>
        </w:tc>
        <w:tc>
          <w:tcPr>
            <w:tcW w:w="154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1" w:themeFillShade="BF"/>
            <w:tcMar>
              <w:top w:w="15" w:type="dxa"/>
              <w:left w:w="43" w:type="dxa"/>
              <w:bottom w:w="22" w:type="dxa"/>
              <w:right w:w="43" w:type="dxa"/>
            </w:tcMar>
            <w:vAlign w:val="center"/>
            <w:hideMark/>
          </w:tcPr>
          <w:p w14:paraId="31DC2963" w14:textId="77777777" w:rsidR="009E28B8" w:rsidRPr="00BA09A3" w:rsidRDefault="009E28B8" w:rsidP="00DC192E">
            <w:pPr>
              <w:ind w:left="83"/>
              <w:jc w:val="center"/>
              <w:rPr>
                <w:color w:val="FFFFFF" w:themeColor="background1"/>
                <w:sz w:val="20"/>
                <w:szCs w:val="20"/>
              </w:rPr>
            </w:pPr>
            <w:r w:rsidRPr="00BA09A3">
              <w:rPr>
                <w:rFonts w:eastAsia="Times New Roman"/>
                <w:b/>
                <w:bCs/>
                <w:color w:val="FFFFFF" w:themeColor="background1"/>
                <w:kern w:val="24"/>
                <w:sz w:val="20"/>
                <w:szCs w:val="20"/>
              </w:rPr>
              <w:t>Future, New Permitted Landfills</w:t>
            </w:r>
          </w:p>
        </w:tc>
        <w:tc>
          <w:tcPr>
            <w:tcW w:w="1347"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1" w:themeFillShade="BF"/>
          </w:tcPr>
          <w:p w14:paraId="1379EB4F" w14:textId="1729B194" w:rsidR="009E28B8" w:rsidRPr="00BA09A3" w:rsidRDefault="009E28B8" w:rsidP="00DC192E">
            <w:pPr>
              <w:jc w:val="center"/>
              <w:rPr>
                <w:b/>
                <w:bCs/>
                <w:color w:val="FFFFFF" w:themeColor="background1"/>
                <w:sz w:val="20"/>
                <w:szCs w:val="20"/>
              </w:rPr>
            </w:pPr>
            <w:r w:rsidRPr="00BA09A3">
              <w:rPr>
                <w:b/>
                <w:bCs/>
                <w:color w:val="FFFFFF" w:themeColor="background1"/>
                <w:sz w:val="20"/>
                <w:szCs w:val="20"/>
              </w:rPr>
              <w:t>Total</w:t>
            </w:r>
          </w:p>
        </w:tc>
        <w:tc>
          <w:tcPr>
            <w:tcW w:w="1654" w:type="dxa"/>
            <w:tcBorders>
              <w:top w:val="single" w:sz="12" w:space="0" w:color="FFFFFF" w:themeColor="background1"/>
              <w:left w:val="single" w:sz="12" w:space="0" w:color="FFFFFF" w:themeColor="background1"/>
              <w:bottom w:val="single" w:sz="12" w:space="0" w:color="FFFFFF" w:themeColor="background1"/>
              <w:right w:val="single" w:sz="4" w:space="0" w:color="auto"/>
            </w:tcBorders>
            <w:shd w:val="clear" w:color="auto" w:fill="2F5496" w:themeFill="accent1" w:themeFillShade="BF"/>
            <w:tcMar>
              <w:top w:w="15" w:type="dxa"/>
              <w:left w:w="43" w:type="dxa"/>
              <w:bottom w:w="22" w:type="dxa"/>
              <w:right w:w="43" w:type="dxa"/>
            </w:tcMar>
            <w:vAlign w:val="center"/>
            <w:hideMark/>
          </w:tcPr>
          <w:p w14:paraId="662C83B8" w14:textId="3EA76882" w:rsidR="009E28B8" w:rsidRPr="00BA09A3" w:rsidRDefault="009E28B8" w:rsidP="00DC192E">
            <w:pPr>
              <w:jc w:val="center"/>
              <w:rPr>
                <w:color w:val="FFFFFF" w:themeColor="background1"/>
                <w:sz w:val="20"/>
                <w:szCs w:val="20"/>
              </w:rPr>
            </w:pPr>
            <w:r w:rsidRPr="00BA09A3">
              <w:rPr>
                <w:b/>
                <w:bCs/>
                <w:color w:val="FFFFFF" w:themeColor="background1"/>
                <w:sz w:val="20"/>
                <w:szCs w:val="20"/>
              </w:rPr>
              <w:t>Estimated Closure Construction Completion</w:t>
            </w:r>
            <w:r w:rsidRPr="00BA09A3">
              <w:rPr>
                <w:b/>
                <w:bCs/>
                <w:color w:val="FFFFFF" w:themeColor="background1"/>
                <w:sz w:val="20"/>
                <w:szCs w:val="20"/>
                <w:vertAlign w:val="superscript"/>
              </w:rPr>
              <w:t>1</w:t>
            </w:r>
          </w:p>
        </w:tc>
      </w:tr>
      <w:tr w:rsidR="009E28B8" w:rsidRPr="00B225E0" w14:paraId="48838013"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vAlign w:val="center"/>
          </w:tcPr>
          <w:p w14:paraId="071FA566" w14:textId="166497B3" w:rsidR="009E28B8" w:rsidRPr="00BA09A3" w:rsidRDefault="009E28B8" w:rsidP="009E28B8">
            <w:pPr>
              <w:rPr>
                <w:b/>
                <w:bCs/>
                <w:color w:val="000000"/>
                <w:sz w:val="20"/>
                <w:szCs w:val="20"/>
              </w:rPr>
            </w:pPr>
            <w:r w:rsidRPr="00BA09A3">
              <w:rPr>
                <w:b/>
                <w:bCs/>
                <w:color w:val="000000"/>
                <w:sz w:val="20"/>
                <w:szCs w:val="20"/>
              </w:rPr>
              <w:t>Arkwright</w:t>
            </w:r>
          </w:p>
        </w:tc>
        <w:tc>
          <w:tcPr>
            <w:tcW w:w="1410"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vAlign w:val="center"/>
          </w:tcPr>
          <w:p w14:paraId="6418DCBF" w14:textId="77777777" w:rsidR="009E28B8" w:rsidRPr="00BA09A3" w:rsidRDefault="009E28B8" w:rsidP="009E28B8">
            <w:pPr>
              <w:jc w:val="center"/>
              <w:rPr>
                <w:color w:val="000000"/>
                <w:sz w:val="20"/>
                <w:szCs w:val="20"/>
              </w:rPr>
            </w:pPr>
            <w:r w:rsidRPr="00BA09A3">
              <w:rPr>
                <w:color w:val="000000"/>
                <w:sz w:val="20"/>
                <w:szCs w:val="20"/>
              </w:rPr>
              <w:t>3</w:t>
            </w:r>
          </w:p>
        </w:tc>
        <w:tc>
          <w:tcPr>
            <w:tcW w:w="1545"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vAlign w:val="center"/>
          </w:tcPr>
          <w:p w14:paraId="28D9690C" w14:textId="77777777" w:rsidR="009E28B8" w:rsidRPr="00BA09A3" w:rsidRDefault="009E28B8" w:rsidP="009E28B8">
            <w:pPr>
              <w:jc w:val="center"/>
              <w:rPr>
                <w:color w:val="000000"/>
                <w:sz w:val="20"/>
                <w:szCs w:val="20"/>
              </w:rPr>
            </w:pPr>
            <w:r w:rsidRPr="00BA09A3">
              <w:rPr>
                <w:color w:val="000000"/>
                <w:sz w:val="20"/>
                <w:szCs w:val="20"/>
              </w:rPr>
              <w:t>1</w:t>
            </w:r>
          </w:p>
        </w:tc>
        <w:tc>
          <w:tcPr>
            <w:tcW w:w="1347" w:type="dxa"/>
            <w:tcBorders>
              <w:top w:val="nil"/>
              <w:left w:val="single" w:sz="12" w:space="0" w:color="FFFFFF" w:themeColor="background1"/>
              <w:bottom w:val="nil"/>
              <w:right w:val="single" w:sz="12" w:space="0" w:color="FFFFFF" w:themeColor="background1"/>
            </w:tcBorders>
            <w:shd w:val="clear" w:color="auto" w:fill="EAEAEA"/>
            <w:vAlign w:val="center"/>
          </w:tcPr>
          <w:p w14:paraId="39113C43" w14:textId="00487309" w:rsidR="009E28B8" w:rsidRPr="00BA09A3" w:rsidRDefault="009E28B8" w:rsidP="009E28B8">
            <w:pPr>
              <w:ind w:left="18"/>
              <w:jc w:val="center"/>
              <w:rPr>
                <w:b/>
                <w:bCs/>
                <w:color w:val="000000"/>
                <w:sz w:val="20"/>
                <w:szCs w:val="20"/>
              </w:rPr>
            </w:pPr>
            <w:r w:rsidRPr="00BA09A3">
              <w:rPr>
                <w:b/>
                <w:bCs/>
                <w:color w:val="000000"/>
                <w:sz w:val="20"/>
                <w:szCs w:val="20"/>
              </w:rPr>
              <w:t>4</w:t>
            </w:r>
          </w:p>
        </w:tc>
        <w:tc>
          <w:tcPr>
            <w:tcW w:w="1654" w:type="dxa"/>
            <w:tcBorders>
              <w:top w:val="nil"/>
              <w:left w:val="single" w:sz="12" w:space="0" w:color="FFFFFF" w:themeColor="background1"/>
              <w:bottom w:val="nil"/>
              <w:right w:val="single" w:sz="4" w:space="0" w:color="auto"/>
            </w:tcBorders>
            <w:shd w:val="clear" w:color="auto" w:fill="EAEAEA"/>
            <w:tcMar>
              <w:top w:w="22" w:type="dxa"/>
              <w:left w:w="81" w:type="dxa"/>
              <w:bottom w:w="22" w:type="dxa"/>
              <w:right w:w="81" w:type="dxa"/>
            </w:tcMar>
            <w:vAlign w:val="center"/>
          </w:tcPr>
          <w:p w14:paraId="379FCD26" w14:textId="1FFF24C2" w:rsidR="009E28B8" w:rsidRPr="00BA09A3" w:rsidRDefault="009E28B8" w:rsidP="009E28B8">
            <w:pPr>
              <w:ind w:left="216"/>
              <w:jc w:val="left"/>
              <w:rPr>
                <w:b/>
                <w:bCs/>
                <w:color w:val="000000"/>
                <w:sz w:val="20"/>
                <w:szCs w:val="20"/>
              </w:rPr>
            </w:pPr>
            <w:r w:rsidRPr="00BA09A3">
              <w:rPr>
                <w:rFonts w:eastAsia="Arial"/>
                <w:b/>
                <w:sz w:val="20"/>
                <w:szCs w:val="20"/>
              </w:rPr>
              <w:t xml:space="preserve">        2032</w:t>
            </w:r>
          </w:p>
        </w:tc>
      </w:tr>
      <w:tr w:rsidR="009E28B8" w:rsidRPr="00B225E0" w14:paraId="0B733E73"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FFFFFF" w:themeFill="background1"/>
            <w:tcMar>
              <w:top w:w="22" w:type="dxa"/>
              <w:left w:w="81" w:type="dxa"/>
              <w:bottom w:w="22" w:type="dxa"/>
              <w:right w:w="81" w:type="dxa"/>
            </w:tcMar>
            <w:vAlign w:val="center"/>
            <w:hideMark/>
          </w:tcPr>
          <w:p w14:paraId="77D530DD" w14:textId="77777777" w:rsidR="009E28B8" w:rsidRPr="00BA09A3" w:rsidRDefault="009E28B8" w:rsidP="009E28B8">
            <w:pPr>
              <w:rPr>
                <w:color w:val="000000"/>
                <w:sz w:val="20"/>
                <w:szCs w:val="20"/>
              </w:rPr>
            </w:pPr>
            <w:r w:rsidRPr="00BA09A3">
              <w:rPr>
                <w:b/>
                <w:bCs/>
                <w:color w:val="000000"/>
                <w:sz w:val="20"/>
                <w:szCs w:val="20"/>
              </w:rPr>
              <w:t>Bowen</w:t>
            </w:r>
          </w:p>
        </w:tc>
        <w:tc>
          <w:tcPr>
            <w:tcW w:w="1410"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vAlign w:val="center"/>
            <w:hideMark/>
          </w:tcPr>
          <w:p w14:paraId="48C097EE" w14:textId="77777777" w:rsidR="009E28B8" w:rsidRPr="00BA09A3" w:rsidRDefault="009E28B8" w:rsidP="009E28B8">
            <w:pPr>
              <w:jc w:val="center"/>
              <w:rPr>
                <w:color w:val="000000"/>
                <w:sz w:val="20"/>
                <w:szCs w:val="20"/>
              </w:rPr>
            </w:pPr>
            <w:r w:rsidRPr="00BA09A3">
              <w:rPr>
                <w:color w:val="000000"/>
                <w:sz w:val="20"/>
                <w:szCs w:val="20"/>
              </w:rPr>
              <w:t>1</w:t>
            </w:r>
          </w:p>
        </w:tc>
        <w:tc>
          <w:tcPr>
            <w:tcW w:w="1545"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vAlign w:val="center"/>
            <w:hideMark/>
          </w:tcPr>
          <w:p w14:paraId="1F9152DD" w14:textId="77777777" w:rsidR="009E28B8" w:rsidRPr="00BA09A3" w:rsidRDefault="009E28B8" w:rsidP="009E28B8">
            <w:pPr>
              <w:ind w:left="360"/>
              <w:jc w:val="center"/>
              <w:rPr>
                <w:color w:val="000000"/>
                <w:sz w:val="20"/>
                <w:szCs w:val="20"/>
              </w:rPr>
            </w:pPr>
          </w:p>
        </w:tc>
        <w:tc>
          <w:tcPr>
            <w:tcW w:w="1347"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FFFFFF" w:themeFill="background1"/>
            <w:vAlign w:val="center"/>
          </w:tcPr>
          <w:p w14:paraId="24166620" w14:textId="7671DFF5" w:rsidR="009E28B8" w:rsidRPr="00BA09A3" w:rsidRDefault="009E28B8" w:rsidP="009E28B8">
            <w:pPr>
              <w:ind w:left="18"/>
              <w:jc w:val="center"/>
              <w:rPr>
                <w:b/>
                <w:bCs/>
                <w:color w:val="000000"/>
                <w:sz w:val="20"/>
                <w:szCs w:val="20"/>
              </w:rPr>
            </w:pPr>
            <w:r w:rsidRPr="00BA09A3">
              <w:rPr>
                <w:b/>
                <w:bCs/>
                <w:color w:val="000000"/>
                <w:sz w:val="20"/>
                <w:szCs w:val="20"/>
              </w:rPr>
              <w:t>1</w:t>
            </w:r>
          </w:p>
        </w:tc>
        <w:tc>
          <w:tcPr>
            <w:tcW w:w="1654" w:type="dxa"/>
            <w:tcBorders>
              <w:top w:val="single" w:sz="12" w:space="0" w:color="FFFFFF" w:themeColor="background1"/>
              <w:left w:val="single" w:sz="12" w:space="0" w:color="FFFFFF" w:themeColor="background1"/>
              <w:bottom w:val="nil"/>
              <w:right w:val="single" w:sz="4" w:space="0" w:color="auto"/>
            </w:tcBorders>
            <w:shd w:val="clear" w:color="auto" w:fill="FFFFFF" w:themeFill="background1"/>
            <w:tcMar>
              <w:top w:w="22" w:type="dxa"/>
              <w:left w:w="81" w:type="dxa"/>
              <w:bottom w:w="22" w:type="dxa"/>
              <w:right w:w="81" w:type="dxa"/>
            </w:tcMar>
            <w:vAlign w:val="center"/>
            <w:hideMark/>
          </w:tcPr>
          <w:p w14:paraId="2524B41D" w14:textId="08AAF2FA" w:rsidR="009E28B8" w:rsidRPr="00BA09A3" w:rsidRDefault="009E28B8" w:rsidP="009E28B8">
            <w:pPr>
              <w:ind w:left="216"/>
              <w:jc w:val="left"/>
              <w:rPr>
                <w:color w:val="000000"/>
                <w:sz w:val="20"/>
                <w:szCs w:val="20"/>
              </w:rPr>
            </w:pPr>
            <w:r w:rsidRPr="00BA09A3">
              <w:rPr>
                <w:b/>
                <w:color w:val="000000" w:themeColor="text1"/>
                <w:sz w:val="20"/>
                <w:szCs w:val="20"/>
              </w:rPr>
              <w:t xml:space="preserve">        2039</w:t>
            </w:r>
          </w:p>
        </w:tc>
      </w:tr>
      <w:tr w:rsidR="009E28B8" w:rsidRPr="00B225E0" w14:paraId="5F3DBE18"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vAlign w:val="center"/>
            <w:hideMark/>
          </w:tcPr>
          <w:p w14:paraId="5F2F704E" w14:textId="77777777" w:rsidR="009E28B8" w:rsidRPr="00BA09A3" w:rsidRDefault="009E28B8" w:rsidP="009E28B8">
            <w:pPr>
              <w:rPr>
                <w:color w:val="000000"/>
                <w:sz w:val="20"/>
                <w:szCs w:val="20"/>
              </w:rPr>
            </w:pPr>
            <w:r w:rsidRPr="00BA09A3">
              <w:rPr>
                <w:b/>
                <w:bCs/>
                <w:color w:val="000000"/>
                <w:sz w:val="20"/>
                <w:szCs w:val="20"/>
              </w:rPr>
              <w:t>Branch</w:t>
            </w:r>
          </w:p>
        </w:tc>
        <w:tc>
          <w:tcPr>
            <w:tcW w:w="1410"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vAlign w:val="center"/>
            <w:hideMark/>
          </w:tcPr>
          <w:p w14:paraId="39F458D2" w14:textId="77777777" w:rsidR="009E28B8" w:rsidRPr="00BA09A3" w:rsidRDefault="009E28B8" w:rsidP="009E28B8">
            <w:pPr>
              <w:ind w:left="-4"/>
              <w:jc w:val="center"/>
              <w:rPr>
                <w:color w:val="000000"/>
                <w:sz w:val="20"/>
                <w:szCs w:val="20"/>
              </w:rPr>
            </w:pPr>
          </w:p>
        </w:tc>
        <w:tc>
          <w:tcPr>
            <w:tcW w:w="1545"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vAlign w:val="center"/>
            <w:hideMark/>
          </w:tcPr>
          <w:p w14:paraId="6E004D1F" w14:textId="77777777" w:rsidR="009E28B8" w:rsidRPr="00BA09A3" w:rsidRDefault="009E28B8" w:rsidP="009E28B8">
            <w:pPr>
              <w:ind w:left="18"/>
              <w:jc w:val="center"/>
              <w:rPr>
                <w:color w:val="000000"/>
                <w:sz w:val="20"/>
                <w:szCs w:val="20"/>
              </w:rPr>
            </w:pPr>
            <w:r w:rsidRPr="00BA09A3">
              <w:rPr>
                <w:color w:val="000000"/>
                <w:sz w:val="20"/>
                <w:szCs w:val="20"/>
              </w:rPr>
              <w:t>1</w:t>
            </w:r>
          </w:p>
        </w:tc>
        <w:tc>
          <w:tcPr>
            <w:tcW w:w="1347" w:type="dxa"/>
            <w:tcBorders>
              <w:top w:val="nil"/>
              <w:left w:val="single" w:sz="12" w:space="0" w:color="FFFFFF" w:themeColor="background1"/>
              <w:bottom w:val="nil"/>
              <w:right w:val="single" w:sz="12" w:space="0" w:color="FFFFFF" w:themeColor="background1"/>
            </w:tcBorders>
            <w:shd w:val="clear" w:color="auto" w:fill="E9E9E9"/>
            <w:vAlign w:val="center"/>
          </w:tcPr>
          <w:p w14:paraId="069C3CE8" w14:textId="09A9A2FC" w:rsidR="009E28B8" w:rsidRPr="00BA09A3" w:rsidRDefault="009E28B8" w:rsidP="009E28B8">
            <w:pPr>
              <w:ind w:left="18"/>
              <w:jc w:val="center"/>
              <w:rPr>
                <w:b/>
                <w:bCs/>
                <w:color w:val="000000"/>
                <w:sz w:val="20"/>
                <w:szCs w:val="20"/>
              </w:rPr>
            </w:pPr>
            <w:r w:rsidRPr="00BA09A3">
              <w:rPr>
                <w:b/>
                <w:bCs/>
                <w:color w:val="000000"/>
                <w:sz w:val="20"/>
                <w:szCs w:val="20"/>
              </w:rPr>
              <w:t>1</w:t>
            </w:r>
          </w:p>
        </w:tc>
        <w:tc>
          <w:tcPr>
            <w:tcW w:w="1654" w:type="dxa"/>
            <w:tcBorders>
              <w:top w:val="nil"/>
              <w:left w:val="single" w:sz="12" w:space="0" w:color="FFFFFF" w:themeColor="background1"/>
              <w:bottom w:val="nil"/>
              <w:right w:val="single" w:sz="4" w:space="0" w:color="auto"/>
            </w:tcBorders>
            <w:shd w:val="clear" w:color="auto" w:fill="E9E9E9"/>
            <w:tcMar>
              <w:top w:w="22" w:type="dxa"/>
              <w:left w:w="81" w:type="dxa"/>
              <w:bottom w:w="22" w:type="dxa"/>
              <w:right w:w="81" w:type="dxa"/>
            </w:tcMar>
            <w:vAlign w:val="center"/>
            <w:hideMark/>
          </w:tcPr>
          <w:p w14:paraId="1C9BA07D" w14:textId="7E4D2657" w:rsidR="009E28B8" w:rsidRPr="00BA09A3" w:rsidRDefault="009E28B8" w:rsidP="009E28B8">
            <w:pPr>
              <w:ind w:left="216"/>
              <w:jc w:val="left"/>
              <w:rPr>
                <w:color w:val="000000"/>
                <w:sz w:val="20"/>
                <w:szCs w:val="20"/>
              </w:rPr>
            </w:pPr>
            <w:r w:rsidRPr="00BA09A3">
              <w:rPr>
                <w:b/>
                <w:color w:val="000000" w:themeColor="text1"/>
                <w:kern w:val="24"/>
                <w:sz w:val="20"/>
                <w:szCs w:val="20"/>
              </w:rPr>
              <w:t xml:space="preserve">        2041</w:t>
            </w:r>
          </w:p>
        </w:tc>
      </w:tr>
      <w:tr w:rsidR="009E28B8" w:rsidRPr="00B225E0" w14:paraId="61E86BA6"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FFFFFF" w:themeFill="background1"/>
            <w:tcMar>
              <w:top w:w="22" w:type="dxa"/>
              <w:left w:w="81" w:type="dxa"/>
              <w:bottom w:w="22" w:type="dxa"/>
              <w:right w:w="81" w:type="dxa"/>
            </w:tcMar>
            <w:vAlign w:val="center"/>
            <w:hideMark/>
          </w:tcPr>
          <w:p w14:paraId="5EB2952E" w14:textId="77777777" w:rsidR="009E28B8" w:rsidRPr="00BA09A3" w:rsidRDefault="009E28B8" w:rsidP="009E28B8">
            <w:pPr>
              <w:rPr>
                <w:color w:val="000000"/>
                <w:sz w:val="20"/>
                <w:szCs w:val="20"/>
              </w:rPr>
            </w:pPr>
            <w:r w:rsidRPr="00BA09A3">
              <w:rPr>
                <w:b/>
                <w:color w:val="000000" w:themeColor="text1"/>
                <w:sz w:val="20"/>
                <w:szCs w:val="20"/>
              </w:rPr>
              <w:t>Hammond</w:t>
            </w:r>
          </w:p>
        </w:tc>
        <w:tc>
          <w:tcPr>
            <w:tcW w:w="1410"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vAlign w:val="center"/>
            <w:hideMark/>
          </w:tcPr>
          <w:p w14:paraId="0411E639" w14:textId="77777777" w:rsidR="009E28B8" w:rsidRPr="00BA09A3" w:rsidRDefault="009E28B8" w:rsidP="009E28B8">
            <w:pPr>
              <w:jc w:val="center"/>
              <w:rPr>
                <w:color w:val="000000"/>
                <w:sz w:val="20"/>
                <w:szCs w:val="20"/>
              </w:rPr>
            </w:pPr>
            <w:r w:rsidRPr="00BA09A3">
              <w:rPr>
                <w:color w:val="000000"/>
                <w:sz w:val="20"/>
                <w:szCs w:val="20"/>
              </w:rPr>
              <w:t>1</w:t>
            </w:r>
          </w:p>
        </w:tc>
        <w:tc>
          <w:tcPr>
            <w:tcW w:w="1545"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vAlign w:val="center"/>
            <w:hideMark/>
          </w:tcPr>
          <w:p w14:paraId="3DB9CA63" w14:textId="77777777" w:rsidR="009E28B8" w:rsidRPr="00BA09A3" w:rsidRDefault="009E28B8" w:rsidP="009E28B8">
            <w:pPr>
              <w:ind w:left="360"/>
              <w:jc w:val="center"/>
              <w:rPr>
                <w:color w:val="000000"/>
                <w:sz w:val="20"/>
                <w:szCs w:val="20"/>
              </w:rPr>
            </w:pPr>
          </w:p>
        </w:tc>
        <w:tc>
          <w:tcPr>
            <w:tcW w:w="1347" w:type="dxa"/>
            <w:tcBorders>
              <w:top w:val="nil"/>
              <w:left w:val="single" w:sz="12" w:space="0" w:color="FFFFFF" w:themeColor="background1"/>
              <w:bottom w:val="nil"/>
              <w:right w:val="single" w:sz="12" w:space="0" w:color="FFFFFF" w:themeColor="background1"/>
            </w:tcBorders>
            <w:shd w:val="clear" w:color="auto" w:fill="FFFFFF" w:themeFill="background1"/>
            <w:vAlign w:val="center"/>
          </w:tcPr>
          <w:p w14:paraId="569E5D67" w14:textId="4BDE4B7A" w:rsidR="009E28B8" w:rsidRPr="00BA09A3" w:rsidRDefault="009E28B8" w:rsidP="009E28B8">
            <w:pPr>
              <w:ind w:left="18"/>
              <w:jc w:val="center"/>
              <w:rPr>
                <w:b/>
                <w:bCs/>
                <w:color w:val="000000"/>
                <w:sz w:val="20"/>
                <w:szCs w:val="20"/>
              </w:rPr>
            </w:pPr>
            <w:r w:rsidRPr="00BA09A3">
              <w:rPr>
                <w:b/>
                <w:bCs/>
                <w:color w:val="000000"/>
                <w:sz w:val="20"/>
                <w:szCs w:val="20"/>
              </w:rPr>
              <w:t>1</w:t>
            </w:r>
          </w:p>
        </w:tc>
        <w:tc>
          <w:tcPr>
            <w:tcW w:w="1654" w:type="dxa"/>
            <w:tcBorders>
              <w:top w:val="nil"/>
              <w:left w:val="single" w:sz="12" w:space="0" w:color="FFFFFF" w:themeColor="background1"/>
              <w:bottom w:val="nil"/>
              <w:right w:val="single" w:sz="4" w:space="0" w:color="auto"/>
            </w:tcBorders>
            <w:shd w:val="clear" w:color="auto" w:fill="FFFFFF" w:themeFill="background1"/>
            <w:tcMar>
              <w:top w:w="22" w:type="dxa"/>
              <w:left w:w="81" w:type="dxa"/>
              <w:bottom w:w="22" w:type="dxa"/>
              <w:right w:w="81" w:type="dxa"/>
            </w:tcMar>
            <w:vAlign w:val="center"/>
            <w:hideMark/>
          </w:tcPr>
          <w:p w14:paraId="1B95FBDA" w14:textId="49A95C9B" w:rsidR="009E28B8" w:rsidRPr="00BA09A3" w:rsidRDefault="009E28B8" w:rsidP="009E28B8">
            <w:pPr>
              <w:ind w:left="216"/>
              <w:jc w:val="left"/>
              <w:rPr>
                <w:color w:val="000000"/>
                <w:sz w:val="20"/>
                <w:szCs w:val="20"/>
              </w:rPr>
            </w:pPr>
            <w:r w:rsidRPr="00BA09A3">
              <w:rPr>
                <w:b/>
                <w:color w:val="000000" w:themeColor="text1"/>
                <w:kern w:val="24"/>
                <w:sz w:val="20"/>
                <w:szCs w:val="20"/>
              </w:rPr>
              <w:t xml:space="preserve">        2032</w:t>
            </w:r>
          </w:p>
        </w:tc>
      </w:tr>
      <w:tr w:rsidR="009E28B8" w:rsidRPr="00B225E0" w14:paraId="26BCC438"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vAlign w:val="center"/>
            <w:hideMark/>
          </w:tcPr>
          <w:p w14:paraId="2C76B937" w14:textId="77777777" w:rsidR="009E28B8" w:rsidRPr="00BA09A3" w:rsidRDefault="009E28B8" w:rsidP="009E28B8">
            <w:pPr>
              <w:rPr>
                <w:color w:val="000000"/>
                <w:sz w:val="20"/>
                <w:szCs w:val="20"/>
              </w:rPr>
            </w:pPr>
            <w:r w:rsidRPr="00BA09A3">
              <w:rPr>
                <w:b/>
                <w:bCs/>
                <w:color w:val="000000"/>
                <w:sz w:val="20"/>
                <w:szCs w:val="20"/>
              </w:rPr>
              <w:t>Kraft</w:t>
            </w:r>
          </w:p>
        </w:tc>
        <w:tc>
          <w:tcPr>
            <w:tcW w:w="1410"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vAlign w:val="center"/>
            <w:hideMark/>
          </w:tcPr>
          <w:p w14:paraId="61AC3AC3" w14:textId="77777777" w:rsidR="009E28B8" w:rsidRPr="00BA09A3" w:rsidRDefault="009E28B8" w:rsidP="009E28B8">
            <w:pPr>
              <w:jc w:val="center"/>
              <w:rPr>
                <w:color w:val="000000"/>
                <w:sz w:val="20"/>
                <w:szCs w:val="20"/>
              </w:rPr>
            </w:pPr>
            <w:r w:rsidRPr="00BA09A3">
              <w:rPr>
                <w:color w:val="000000"/>
                <w:sz w:val="20"/>
                <w:szCs w:val="20"/>
              </w:rPr>
              <w:t>1</w:t>
            </w:r>
          </w:p>
        </w:tc>
        <w:tc>
          <w:tcPr>
            <w:tcW w:w="1545"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vAlign w:val="center"/>
            <w:hideMark/>
          </w:tcPr>
          <w:p w14:paraId="27572521" w14:textId="77777777" w:rsidR="009E28B8" w:rsidRPr="00BA09A3" w:rsidRDefault="009E28B8" w:rsidP="009E28B8">
            <w:pPr>
              <w:ind w:left="360"/>
              <w:jc w:val="center"/>
              <w:rPr>
                <w:color w:val="000000"/>
                <w:sz w:val="20"/>
                <w:szCs w:val="20"/>
              </w:rPr>
            </w:pPr>
          </w:p>
        </w:tc>
        <w:tc>
          <w:tcPr>
            <w:tcW w:w="1347" w:type="dxa"/>
            <w:tcBorders>
              <w:top w:val="nil"/>
              <w:left w:val="single" w:sz="12" w:space="0" w:color="FFFFFF" w:themeColor="background1"/>
              <w:bottom w:val="nil"/>
              <w:right w:val="single" w:sz="12" w:space="0" w:color="FFFFFF" w:themeColor="background1"/>
            </w:tcBorders>
            <w:shd w:val="clear" w:color="auto" w:fill="EAEAEA"/>
            <w:vAlign w:val="center"/>
          </w:tcPr>
          <w:p w14:paraId="78D12D06" w14:textId="2A026E6C" w:rsidR="009E28B8" w:rsidRPr="00BA09A3" w:rsidRDefault="009E28B8" w:rsidP="009E28B8">
            <w:pPr>
              <w:ind w:left="18"/>
              <w:jc w:val="center"/>
              <w:rPr>
                <w:b/>
                <w:bCs/>
                <w:color w:val="000000"/>
                <w:sz w:val="20"/>
                <w:szCs w:val="20"/>
              </w:rPr>
            </w:pPr>
            <w:r w:rsidRPr="00BA09A3">
              <w:rPr>
                <w:b/>
                <w:bCs/>
                <w:color w:val="000000"/>
                <w:sz w:val="20"/>
                <w:szCs w:val="20"/>
              </w:rPr>
              <w:t>1</w:t>
            </w:r>
          </w:p>
        </w:tc>
        <w:tc>
          <w:tcPr>
            <w:tcW w:w="1654" w:type="dxa"/>
            <w:tcBorders>
              <w:top w:val="nil"/>
              <w:left w:val="single" w:sz="12" w:space="0" w:color="FFFFFF" w:themeColor="background1"/>
              <w:bottom w:val="nil"/>
              <w:right w:val="single" w:sz="4" w:space="0" w:color="auto"/>
            </w:tcBorders>
            <w:shd w:val="clear" w:color="auto" w:fill="EAEAEA"/>
            <w:tcMar>
              <w:top w:w="22" w:type="dxa"/>
              <w:left w:w="81" w:type="dxa"/>
              <w:bottom w:w="22" w:type="dxa"/>
              <w:right w:w="81" w:type="dxa"/>
            </w:tcMar>
            <w:vAlign w:val="center"/>
            <w:hideMark/>
          </w:tcPr>
          <w:p w14:paraId="5538381B" w14:textId="548109AF" w:rsidR="009E28B8" w:rsidRPr="00BA09A3" w:rsidRDefault="009E28B8" w:rsidP="009E28B8">
            <w:pPr>
              <w:ind w:left="216"/>
              <w:jc w:val="left"/>
              <w:rPr>
                <w:color w:val="000000"/>
                <w:sz w:val="20"/>
                <w:szCs w:val="20"/>
              </w:rPr>
            </w:pPr>
            <w:r w:rsidRPr="00BA09A3">
              <w:rPr>
                <w:b/>
                <w:color w:val="000000" w:themeColor="text1"/>
                <w:kern w:val="24"/>
                <w:sz w:val="20"/>
                <w:szCs w:val="20"/>
              </w:rPr>
              <w:t xml:space="preserve">        2020</w:t>
            </w:r>
            <w:r w:rsidRPr="00BA09A3">
              <w:rPr>
                <w:rFonts w:eastAsia="MS Mincho"/>
                <w:b/>
                <w:color w:val="000000"/>
                <w:sz w:val="20"/>
                <w:szCs w:val="20"/>
                <w:vertAlign w:val="superscript"/>
              </w:rPr>
              <w:t xml:space="preserve"> A</w:t>
            </w:r>
          </w:p>
        </w:tc>
      </w:tr>
      <w:tr w:rsidR="009E28B8" w:rsidRPr="00B225E0" w14:paraId="4C935890"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auto"/>
            <w:tcMar>
              <w:top w:w="22" w:type="dxa"/>
              <w:left w:w="81" w:type="dxa"/>
              <w:bottom w:w="22" w:type="dxa"/>
              <w:right w:w="81" w:type="dxa"/>
            </w:tcMar>
            <w:vAlign w:val="center"/>
          </w:tcPr>
          <w:p w14:paraId="32C04EF8" w14:textId="77777777" w:rsidR="009E28B8" w:rsidRPr="00BA09A3" w:rsidRDefault="009E28B8" w:rsidP="009E28B8">
            <w:pPr>
              <w:rPr>
                <w:b/>
                <w:bCs/>
                <w:color w:val="000000"/>
                <w:sz w:val="20"/>
                <w:szCs w:val="20"/>
              </w:rPr>
            </w:pPr>
            <w:r w:rsidRPr="00BA09A3">
              <w:rPr>
                <w:b/>
                <w:bCs/>
                <w:color w:val="000000"/>
                <w:sz w:val="20"/>
                <w:szCs w:val="20"/>
              </w:rPr>
              <w:t>McIntosh</w:t>
            </w:r>
          </w:p>
        </w:tc>
        <w:tc>
          <w:tcPr>
            <w:tcW w:w="1410" w:type="dxa"/>
            <w:tcBorders>
              <w:top w:val="nil"/>
              <w:left w:val="single" w:sz="12" w:space="0" w:color="FFFFFF" w:themeColor="background1"/>
              <w:bottom w:val="nil"/>
              <w:right w:val="single" w:sz="12" w:space="0" w:color="FFFFFF" w:themeColor="background1"/>
            </w:tcBorders>
            <w:shd w:val="clear" w:color="auto" w:fill="auto"/>
            <w:tcMar>
              <w:top w:w="22" w:type="dxa"/>
              <w:left w:w="81" w:type="dxa"/>
              <w:bottom w:w="22" w:type="dxa"/>
              <w:right w:w="81" w:type="dxa"/>
            </w:tcMar>
            <w:vAlign w:val="center"/>
          </w:tcPr>
          <w:p w14:paraId="16A24388" w14:textId="77777777" w:rsidR="009E28B8" w:rsidRPr="00BA09A3" w:rsidRDefault="009E28B8" w:rsidP="009E28B8">
            <w:pPr>
              <w:jc w:val="center"/>
              <w:rPr>
                <w:color w:val="000000"/>
                <w:sz w:val="20"/>
                <w:szCs w:val="20"/>
              </w:rPr>
            </w:pPr>
            <w:r w:rsidRPr="00BA09A3">
              <w:rPr>
                <w:color w:val="000000"/>
                <w:sz w:val="20"/>
                <w:szCs w:val="20"/>
              </w:rPr>
              <w:t>2</w:t>
            </w:r>
          </w:p>
        </w:tc>
        <w:tc>
          <w:tcPr>
            <w:tcW w:w="1545" w:type="dxa"/>
            <w:tcBorders>
              <w:top w:val="nil"/>
              <w:left w:val="single" w:sz="12" w:space="0" w:color="FFFFFF" w:themeColor="background1"/>
              <w:bottom w:val="nil"/>
              <w:right w:val="single" w:sz="12" w:space="0" w:color="FFFFFF" w:themeColor="background1"/>
            </w:tcBorders>
            <w:shd w:val="clear" w:color="auto" w:fill="auto"/>
            <w:tcMar>
              <w:top w:w="22" w:type="dxa"/>
              <w:left w:w="81" w:type="dxa"/>
              <w:bottom w:w="22" w:type="dxa"/>
              <w:right w:w="81" w:type="dxa"/>
            </w:tcMar>
            <w:vAlign w:val="center"/>
          </w:tcPr>
          <w:p w14:paraId="6A057E2A" w14:textId="77777777" w:rsidR="009E28B8" w:rsidRPr="00BA09A3" w:rsidRDefault="009E28B8" w:rsidP="009E28B8">
            <w:pPr>
              <w:ind w:left="360"/>
              <w:jc w:val="center"/>
              <w:rPr>
                <w:color w:val="000000"/>
                <w:sz w:val="20"/>
                <w:szCs w:val="20"/>
              </w:rPr>
            </w:pPr>
          </w:p>
        </w:tc>
        <w:tc>
          <w:tcPr>
            <w:tcW w:w="1347" w:type="dxa"/>
            <w:tcBorders>
              <w:top w:val="nil"/>
              <w:left w:val="single" w:sz="12" w:space="0" w:color="FFFFFF" w:themeColor="background1"/>
              <w:bottom w:val="nil"/>
              <w:right w:val="single" w:sz="12" w:space="0" w:color="FFFFFF" w:themeColor="background1"/>
            </w:tcBorders>
            <w:vAlign w:val="center"/>
          </w:tcPr>
          <w:p w14:paraId="59FE4429" w14:textId="3A52FCAD" w:rsidR="009E28B8" w:rsidRPr="00BA09A3" w:rsidRDefault="009E28B8" w:rsidP="009E28B8">
            <w:pPr>
              <w:ind w:left="18"/>
              <w:jc w:val="center"/>
              <w:rPr>
                <w:b/>
                <w:bCs/>
                <w:color w:val="000000"/>
                <w:sz w:val="20"/>
                <w:szCs w:val="20"/>
              </w:rPr>
            </w:pPr>
            <w:r w:rsidRPr="00BA09A3">
              <w:rPr>
                <w:b/>
                <w:bCs/>
                <w:color w:val="000000"/>
                <w:sz w:val="20"/>
                <w:szCs w:val="20"/>
              </w:rPr>
              <w:t>2</w:t>
            </w:r>
          </w:p>
        </w:tc>
        <w:tc>
          <w:tcPr>
            <w:tcW w:w="1654" w:type="dxa"/>
            <w:tcBorders>
              <w:top w:val="nil"/>
              <w:left w:val="single" w:sz="12" w:space="0" w:color="FFFFFF" w:themeColor="background1"/>
              <w:bottom w:val="nil"/>
              <w:right w:val="single" w:sz="4" w:space="0" w:color="auto"/>
            </w:tcBorders>
            <w:shd w:val="clear" w:color="auto" w:fill="auto"/>
            <w:tcMar>
              <w:top w:w="22" w:type="dxa"/>
              <w:left w:w="81" w:type="dxa"/>
              <w:bottom w:w="22" w:type="dxa"/>
              <w:right w:w="81" w:type="dxa"/>
            </w:tcMar>
            <w:vAlign w:val="center"/>
          </w:tcPr>
          <w:p w14:paraId="6FC5EF37" w14:textId="19EA6E14" w:rsidR="009E28B8" w:rsidRPr="00BA09A3" w:rsidRDefault="009E28B8" w:rsidP="009E28B8">
            <w:pPr>
              <w:ind w:left="216"/>
              <w:jc w:val="left"/>
              <w:rPr>
                <w:b/>
                <w:bCs/>
                <w:color w:val="000000"/>
                <w:sz w:val="20"/>
                <w:szCs w:val="20"/>
              </w:rPr>
            </w:pPr>
            <w:r w:rsidRPr="00BA09A3">
              <w:rPr>
                <w:b/>
                <w:color w:val="000000" w:themeColor="text1"/>
                <w:kern w:val="24"/>
                <w:sz w:val="20"/>
                <w:szCs w:val="20"/>
              </w:rPr>
              <w:t xml:space="preserve">        2022 </w:t>
            </w:r>
            <w:r w:rsidRPr="00BA09A3">
              <w:rPr>
                <w:b/>
                <w:color w:val="000000" w:themeColor="text1"/>
                <w:kern w:val="24"/>
                <w:sz w:val="20"/>
                <w:szCs w:val="20"/>
                <w:vertAlign w:val="superscript"/>
              </w:rPr>
              <w:t>2</w:t>
            </w:r>
          </w:p>
        </w:tc>
      </w:tr>
      <w:tr w:rsidR="009E28B8" w:rsidRPr="00B225E0" w14:paraId="319BD62F"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vAlign w:val="center"/>
          </w:tcPr>
          <w:p w14:paraId="4BB9761C" w14:textId="77777777" w:rsidR="009E28B8" w:rsidRPr="00BA09A3" w:rsidRDefault="009E28B8" w:rsidP="009E28B8">
            <w:pPr>
              <w:rPr>
                <w:b/>
                <w:bCs/>
                <w:color w:val="000000"/>
                <w:sz w:val="20"/>
                <w:szCs w:val="20"/>
              </w:rPr>
            </w:pPr>
            <w:r w:rsidRPr="00BA09A3">
              <w:rPr>
                <w:b/>
                <w:bCs/>
                <w:color w:val="000000"/>
                <w:sz w:val="20"/>
                <w:szCs w:val="20"/>
              </w:rPr>
              <w:t>Scherer</w:t>
            </w:r>
          </w:p>
        </w:tc>
        <w:tc>
          <w:tcPr>
            <w:tcW w:w="1410"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vAlign w:val="center"/>
          </w:tcPr>
          <w:p w14:paraId="24F4FC4C" w14:textId="77777777" w:rsidR="009E28B8" w:rsidRPr="00BA09A3" w:rsidRDefault="009E28B8" w:rsidP="009E28B8">
            <w:pPr>
              <w:jc w:val="center"/>
              <w:rPr>
                <w:color w:val="000000"/>
                <w:sz w:val="20"/>
                <w:szCs w:val="20"/>
              </w:rPr>
            </w:pPr>
            <w:r w:rsidRPr="00BA09A3">
              <w:rPr>
                <w:color w:val="000000"/>
                <w:sz w:val="20"/>
                <w:szCs w:val="20"/>
              </w:rPr>
              <w:t>1</w:t>
            </w:r>
          </w:p>
        </w:tc>
        <w:tc>
          <w:tcPr>
            <w:tcW w:w="1545"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vAlign w:val="center"/>
          </w:tcPr>
          <w:p w14:paraId="657FA734" w14:textId="77777777" w:rsidR="009E28B8" w:rsidRPr="00BA09A3" w:rsidRDefault="009E28B8" w:rsidP="009E28B8">
            <w:pPr>
              <w:ind w:left="360"/>
              <w:jc w:val="center"/>
              <w:rPr>
                <w:color w:val="000000"/>
                <w:sz w:val="20"/>
                <w:szCs w:val="20"/>
              </w:rPr>
            </w:pPr>
          </w:p>
        </w:tc>
        <w:tc>
          <w:tcPr>
            <w:tcW w:w="1347" w:type="dxa"/>
            <w:tcBorders>
              <w:top w:val="nil"/>
              <w:left w:val="single" w:sz="12" w:space="0" w:color="FFFFFF" w:themeColor="background1"/>
              <w:bottom w:val="nil"/>
              <w:right w:val="single" w:sz="12" w:space="0" w:color="FFFFFF" w:themeColor="background1"/>
            </w:tcBorders>
            <w:shd w:val="clear" w:color="auto" w:fill="EAEAEA"/>
            <w:vAlign w:val="center"/>
          </w:tcPr>
          <w:p w14:paraId="63076086" w14:textId="1CB451B7" w:rsidR="009E28B8" w:rsidRPr="00BA09A3" w:rsidRDefault="009E28B8" w:rsidP="009E28B8">
            <w:pPr>
              <w:ind w:left="18"/>
              <w:jc w:val="center"/>
              <w:rPr>
                <w:b/>
                <w:bCs/>
                <w:color w:val="000000"/>
                <w:sz w:val="20"/>
                <w:szCs w:val="20"/>
              </w:rPr>
            </w:pPr>
            <w:r w:rsidRPr="00BA09A3">
              <w:rPr>
                <w:b/>
                <w:bCs/>
                <w:color w:val="000000"/>
                <w:sz w:val="20"/>
                <w:szCs w:val="20"/>
              </w:rPr>
              <w:t>1</w:t>
            </w:r>
          </w:p>
        </w:tc>
        <w:tc>
          <w:tcPr>
            <w:tcW w:w="1654" w:type="dxa"/>
            <w:tcBorders>
              <w:top w:val="nil"/>
              <w:left w:val="single" w:sz="12" w:space="0" w:color="FFFFFF" w:themeColor="background1"/>
              <w:bottom w:val="nil"/>
              <w:right w:val="single" w:sz="4" w:space="0" w:color="auto"/>
            </w:tcBorders>
            <w:shd w:val="clear" w:color="auto" w:fill="EAEAEA"/>
            <w:tcMar>
              <w:top w:w="22" w:type="dxa"/>
              <w:left w:w="81" w:type="dxa"/>
              <w:bottom w:w="22" w:type="dxa"/>
              <w:right w:w="81" w:type="dxa"/>
            </w:tcMar>
            <w:vAlign w:val="center"/>
          </w:tcPr>
          <w:p w14:paraId="6D3E6D8C" w14:textId="41981DD1" w:rsidR="009E28B8" w:rsidRPr="00BA09A3" w:rsidRDefault="009E28B8" w:rsidP="009E28B8">
            <w:pPr>
              <w:ind w:left="216"/>
              <w:jc w:val="left"/>
              <w:rPr>
                <w:b/>
                <w:bCs/>
                <w:color w:val="000000"/>
                <w:sz w:val="20"/>
                <w:szCs w:val="20"/>
              </w:rPr>
            </w:pPr>
            <w:r w:rsidRPr="00BA09A3">
              <w:rPr>
                <w:b/>
                <w:color w:val="000000" w:themeColor="text1"/>
                <w:kern w:val="24"/>
                <w:sz w:val="20"/>
                <w:szCs w:val="20"/>
              </w:rPr>
              <w:t xml:space="preserve">        2046</w:t>
            </w:r>
          </w:p>
        </w:tc>
      </w:tr>
      <w:tr w:rsidR="009E28B8" w:rsidRPr="00B225E0" w14:paraId="72F3D46F"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auto"/>
            <w:tcMar>
              <w:top w:w="22" w:type="dxa"/>
              <w:left w:w="81" w:type="dxa"/>
              <w:bottom w:w="22" w:type="dxa"/>
              <w:right w:w="81" w:type="dxa"/>
            </w:tcMar>
            <w:vAlign w:val="center"/>
          </w:tcPr>
          <w:p w14:paraId="427492F4" w14:textId="77777777" w:rsidR="009E28B8" w:rsidRPr="00BA09A3" w:rsidRDefault="009E28B8" w:rsidP="009E28B8">
            <w:pPr>
              <w:rPr>
                <w:color w:val="000000"/>
                <w:sz w:val="20"/>
                <w:szCs w:val="20"/>
              </w:rPr>
            </w:pPr>
            <w:r w:rsidRPr="00BA09A3">
              <w:rPr>
                <w:b/>
                <w:bCs/>
                <w:color w:val="000000" w:themeColor="text1"/>
                <w:sz w:val="20"/>
                <w:szCs w:val="20"/>
              </w:rPr>
              <w:t>Wansley</w:t>
            </w:r>
          </w:p>
        </w:tc>
        <w:tc>
          <w:tcPr>
            <w:tcW w:w="1410" w:type="dxa"/>
            <w:tcBorders>
              <w:top w:val="nil"/>
              <w:left w:val="single" w:sz="12" w:space="0" w:color="FFFFFF" w:themeColor="background1"/>
              <w:bottom w:val="nil"/>
              <w:right w:val="single" w:sz="12" w:space="0" w:color="FFFFFF" w:themeColor="background1"/>
            </w:tcBorders>
            <w:shd w:val="clear" w:color="auto" w:fill="auto"/>
            <w:tcMar>
              <w:top w:w="22" w:type="dxa"/>
              <w:left w:w="81" w:type="dxa"/>
              <w:bottom w:w="22" w:type="dxa"/>
              <w:right w:w="81" w:type="dxa"/>
            </w:tcMar>
            <w:vAlign w:val="center"/>
          </w:tcPr>
          <w:p w14:paraId="0D36783B" w14:textId="77777777" w:rsidR="009E28B8" w:rsidRPr="00BA09A3" w:rsidRDefault="009E28B8" w:rsidP="009E28B8">
            <w:pPr>
              <w:jc w:val="center"/>
              <w:rPr>
                <w:color w:val="000000"/>
                <w:sz w:val="20"/>
                <w:szCs w:val="20"/>
              </w:rPr>
            </w:pPr>
            <w:r w:rsidRPr="00BA09A3">
              <w:rPr>
                <w:color w:val="000000"/>
                <w:sz w:val="20"/>
                <w:szCs w:val="20"/>
              </w:rPr>
              <w:t>1</w:t>
            </w:r>
          </w:p>
        </w:tc>
        <w:tc>
          <w:tcPr>
            <w:tcW w:w="1545" w:type="dxa"/>
            <w:tcBorders>
              <w:top w:val="nil"/>
              <w:left w:val="single" w:sz="12" w:space="0" w:color="FFFFFF" w:themeColor="background1"/>
              <w:bottom w:val="nil"/>
              <w:right w:val="single" w:sz="12" w:space="0" w:color="FFFFFF" w:themeColor="background1"/>
            </w:tcBorders>
            <w:shd w:val="clear" w:color="auto" w:fill="auto"/>
            <w:tcMar>
              <w:top w:w="22" w:type="dxa"/>
              <w:left w:w="81" w:type="dxa"/>
              <w:bottom w:w="22" w:type="dxa"/>
              <w:right w:w="81" w:type="dxa"/>
            </w:tcMar>
            <w:vAlign w:val="center"/>
          </w:tcPr>
          <w:p w14:paraId="7DAF1DE3" w14:textId="77777777" w:rsidR="009E28B8" w:rsidRPr="00BA09A3" w:rsidRDefault="009E28B8" w:rsidP="009E28B8">
            <w:pPr>
              <w:ind w:left="18"/>
              <w:jc w:val="center"/>
              <w:rPr>
                <w:color w:val="000000"/>
                <w:sz w:val="20"/>
                <w:szCs w:val="20"/>
              </w:rPr>
            </w:pPr>
          </w:p>
        </w:tc>
        <w:tc>
          <w:tcPr>
            <w:tcW w:w="1347" w:type="dxa"/>
            <w:tcBorders>
              <w:top w:val="nil"/>
              <w:left w:val="single" w:sz="12" w:space="0" w:color="FFFFFF" w:themeColor="background1"/>
              <w:bottom w:val="nil"/>
              <w:right w:val="single" w:sz="12" w:space="0" w:color="FFFFFF" w:themeColor="background1"/>
            </w:tcBorders>
            <w:vAlign w:val="center"/>
          </w:tcPr>
          <w:p w14:paraId="2D60271E" w14:textId="4CAF9D4A" w:rsidR="009E28B8" w:rsidRPr="00BA09A3" w:rsidRDefault="009E28B8" w:rsidP="009E28B8">
            <w:pPr>
              <w:jc w:val="center"/>
              <w:rPr>
                <w:b/>
                <w:bCs/>
                <w:color w:val="000000"/>
                <w:sz w:val="20"/>
                <w:szCs w:val="20"/>
              </w:rPr>
            </w:pPr>
            <w:r w:rsidRPr="00BA09A3">
              <w:rPr>
                <w:b/>
                <w:bCs/>
                <w:color w:val="000000"/>
                <w:sz w:val="20"/>
                <w:szCs w:val="20"/>
              </w:rPr>
              <w:t>1</w:t>
            </w:r>
          </w:p>
        </w:tc>
        <w:tc>
          <w:tcPr>
            <w:tcW w:w="1654" w:type="dxa"/>
            <w:tcBorders>
              <w:top w:val="nil"/>
              <w:left w:val="single" w:sz="12" w:space="0" w:color="FFFFFF" w:themeColor="background1"/>
              <w:bottom w:val="nil"/>
              <w:right w:val="single" w:sz="4" w:space="0" w:color="auto"/>
            </w:tcBorders>
            <w:shd w:val="clear" w:color="auto" w:fill="auto"/>
            <w:tcMar>
              <w:top w:w="22" w:type="dxa"/>
              <w:left w:w="81" w:type="dxa"/>
              <w:bottom w:w="22" w:type="dxa"/>
              <w:right w:w="81" w:type="dxa"/>
            </w:tcMar>
            <w:vAlign w:val="center"/>
          </w:tcPr>
          <w:p w14:paraId="421A7EFB" w14:textId="7ABD05DF" w:rsidR="009E28B8" w:rsidRPr="00BA09A3" w:rsidRDefault="009E28B8" w:rsidP="009E28B8">
            <w:pPr>
              <w:ind w:left="216"/>
              <w:jc w:val="left"/>
              <w:rPr>
                <w:color w:val="000000"/>
                <w:sz w:val="20"/>
                <w:szCs w:val="20"/>
              </w:rPr>
            </w:pPr>
            <w:r w:rsidRPr="00BA09A3">
              <w:rPr>
                <w:b/>
                <w:color w:val="000000" w:themeColor="text1"/>
                <w:kern w:val="24"/>
                <w:sz w:val="20"/>
                <w:szCs w:val="20"/>
              </w:rPr>
              <w:t xml:space="preserve">        </w:t>
            </w:r>
            <w:r w:rsidRPr="00BA09A3">
              <w:rPr>
                <w:b/>
                <w:bCs/>
                <w:color w:val="000000" w:themeColor="text1"/>
                <w:kern w:val="24"/>
                <w:sz w:val="20"/>
                <w:szCs w:val="20"/>
              </w:rPr>
              <w:t>2034</w:t>
            </w:r>
          </w:p>
        </w:tc>
      </w:tr>
      <w:tr w:rsidR="009E28B8" w:rsidRPr="00B225E0" w14:paraId="0849B8E3" w14:textId="77777777" w:rsidTr="009E28B8">
        <w:trPr>
          <w:trHeight w:hRule="exact" w:val="288"/>
          <w:jc w:val="center"/>
        </w:trPr>
        <w:tc>
          <w:tcPr>
            <w:tcW w:w="2049" w:type="dxa"/>
            <w:tcBorders>
              <w:top w:val="nil"/>
              <w:left w:val="single" w:sz="4" w:space="0" w:color="auto"/>
              <w:bottom w:val="nil"/>
              <w:right w:val="single" w:sz="12" w:space="0" w:color="FFFFFF" w:themeColor="background1"/>
            </w:tcBorders>
            <w:shd w:val="clear" w:color="auto" w:fill="EAEAEA"/>
            <w:tcMar>
              <w:top w:w="22" w:type="dxa"/>
              <w:left w:w="81" w:type="dxa"/>
              <w:bottom w:w="22" w:type="dxa"/>
              <w:right w:w="81" w:type="dxa"/>
            </w:tcMar>
            <w:vAlign w:val="center"/>
          </w:tcPr>
          <w:p w14:paraId="0F299A17" w14:textId="77777777" w:rsidR="009E28B8" w:rsidRPr="00BA09A3" w:rsidRDefault="009E28B8" w:rsidP="009E28B8">
            <w:pPr>
              <w:rPr>
                <w:b/>
                <w:bCs/>
                <w:color w:val="000000"/>
                <w:sz w:val="20"/>
                <w:szCs w:val="20"/>
              </w:rPr>
            </w:pPr>
            <w:r w:rsidRPr="00BA09A3">
              <w:rPr>
                <w:b/>
                <w:bCs/>
                <w:color w:val="000000"/>
                <w:sz w:val="20"/>
                <w:szCs w:val="20"/>
              </w:rPr>
              <w:t>Yates</w:t>
            </w:r>
          </w:p>
        </w:tc>
        <w:tc>
          <w:tcPr>
            <w:tcW w:w="1410"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vAlign w:val="center"/>
          </w:tcPr>
          <w:p w14:paraId="4A093042" w14:textId="77777777" w:rsidR="009E28B8" w:rsidRPr="00BA09A3" w:rsidRDefault="009E28B8" w:rsidP="009E28B8">
            <w:pPr>
              <w:jc w:val="center"/>
              <w:rPr>
                <w:color w:val="000000"/>
                <w:sz w:val="20"/>
                <w:szCs w:val="20"/>
              </w:rPr>
            </w:pPr>
            <w:r w:rsidRPr="00BA09A3">
              <w:rPr>
                <w:color w:val="000000"/>
                <w:sz w:val="20"/>
                <w:szCs w:val="20"/>
              </w:rPr>
              <w:t>2</w:t>
            </w:r>
          </w:p>
        </w:tc>
        <w:tc>
          <w:tcPr>
            <w:tcW w:w="1545"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vAlign w:val="center"/>
          </w:tcPr>
          <w:p w14:paraId="5D8D2DE4" w14:textId="77777777" w:rsidR="009E28B8" w:rsidRPr="00BA09A3" w:rsidRDefault="009E28B8" w:rsidP="009E28B8">
            <w:pPr>
              <w:ind w:left="18"/>
              <w:jc w:val="center"/>
              <w:rPr>
                <w:b/>
                <w:bCs/>
                <w:color w:val="000000"/>
                <w:sz w:val="20"/>
                <w:szCs w:val="20"/>
              </w:rPr>
            </w:pPr>
          </w:p>
        </w:tc>
        <w:tc>
          <w:tcPr>
            <w:tcW w:w="1347" w:type="dxa"/>
            <w:tcBorders>
              <w:top w:val="nil"/>
              <w:left w:val="single" w:sz="12" w:space="0" w:color="FFFFFF" w:themeColor="background1"/>
              <w:bottom w:val="nil"/>
              <w:right w:val="single" w:sz="12" w:space="0" w:color="FFFFFF" w:themeColor="background1"/>
            </w:tcBorders>
            <w:shd w:val="clear" w:color="auto" w:fill="EAEAEA"/>
            <w:vAlign w:val="center"/>
          </w:tcPr>
          <w:p w14:paraId="37B63384" w14:textId="0832087D" w:rsidR="009E28B8" w:rsidRPr="00BA09A3" w:rsidRDefault="009E28B8" w:rsidP="009E28B8">
            <w:pPr>
              <w:ind w:left="18"/>
              <w:jc w:val="center"/>
              <w:rPr>
                <w:b/>
                <w:bCs/>
                <w:color w:val="000000"/>
                <w:sz w:val="20"/>
                <w:szCs w:val="20"/>
              </w:rPr>
            </w:pPr>
            <w:r w:rsidRPr="00BA09A3">
              <w:rPr>
                <w:b/>
                <w:bCs/>
                <w:color w:val="000000"/>
                <w:sz w:val="20"/>
                <w:szCs w:val="20"/>
              </w:rPr>
              <w:t>2</w:t>
            </w:r>
          </w:p>
        </w:tc>
        <w:tc>
          <w:tcPr>
            <w:tcW w:w="1654" w:type="dxa"/>
            <w:tcBorders>
              <w:top w:val="nil"/>
              <w:left w:val="single" w:sz="12" w:space="0" w:color="FFFFFF" w:themeColor="background1"/>
              <w:bottom w:val="nil"/>
              <w:right w:val="single" w:sz="4" w:space="0" w:color="auto"/>
            </w:tcBorders>
            <w:shd w:val="clear" w:color="auto" w:fill="EAEAEA"/>
            <w:tcMar>
              <w:top w:w="22" w:type="dxa"/>
              <w:left w:w="81" w:type="dxa"/>
              <w:bottom w:w="22" w:type="dxa"/>
              <w:right w:w="81" w:type="dxa"/>
            </w:tcMar>
            <w:vAlign w:val="center"/>
          </w:tcPr>
          <w:p w14:paraId="0C265C79" w14:textId="02363B07" w:rsidR="009E28B8" w:rsidRPr="00BA09A3" w:rsidRDefault="009E28B8" w:rsidP="009E28B8">
            <w:pPr>
              <w:ind w:left="216"/>
              <w:jc w:val="left"/>
              <w:rPr>
                <w:b/>
                <w:bCs/>
                <w:color w:val="000000"/>
                <w:sz w:val="20"/>
                <w:szCs w:val="20"/>
              </w:rPr>
            </w:pPr>
            <w:r w:rsidRPr="00BA09A3">
              <w:rPr>
                <w:b/>
                <w:color w:val="000000" w:themeColor="text1"/>
                <w:kern w:val="24"/>
                <w:sz w:val="20"/>
                <w:szCs w:val="20"/>
              </w:rPr>
              <w:t xml:space="preserve">        </w:t>
            </w:r>
            <w:r w:rsidRPr="00BA09A3">
              <w:rPr>
                <w:b/>
                <w:color w:val="000000"/>
                <w:sz w:val="20"/>
                <w:szCs w:val="20"/>
              </w:rPr>
              <w:t>2024</w:t>
            </w:r>
          </w:p>
        </w:tc>
      </w:tr>
      <w:tr w:rsidR="009E28B8" w:rsidRPr="00B225E0" w14:paraId="30D89834" w14:textId="77777777" w:rsidTr="009E28B8">
        <w:trPr>
          <w:trHeight w:hRule="exact" w:val="412"/>
          <w:jc w:val="center"/>
        </w:trPr>
        <w:tc>
          <w:tcPr>
            <w:tcW w:w="2049" w:type="dxa"/>
            <w:tcBorders>
              <w:top w:val="single" w:sz="18" w:space="0" w:color="707070"/>
              <w:left w:val="single" w:sz="4" w:space="0" w:color="auto"/>
              <w:bottom w:val="single" w:sz="4" w:space="0" w:color="auto"/>
              <w:right w:val="single" w:sz="12" w:space="0" w:color="FFFFFF" w:themeColor="background1"/>
            </w:tcBorders>
            <w:shd w:val="clear" w:color="auto" w:fill="FFFFFF" w:themeFill="background1"/>
            <w:tcMar>
              <w:top w:w="22" w:type="dxa"/>
              <w:left w:w="81" w:type="dxa"/>
              <w:bottom w:w="22" w:type="dxa"/>
              <w:right w:w="81" w:type="dxa"/>
            </w:tcMar>
            <w:vAlign w:val="center"/>
          </w:tcPr>
          <w:p w14:paraId="0F46A4B3" w14:textId="77777777" w:rsidR="009E28B8" w:rsidRPr="00BA09A3" w:rsidRDefault="009E28B8" w:rsidP="00DC192E">
            <w:pPr>
              <w:ind w:left="360"/>
              <w:jc w:val="center"/>
              <w:rPr>
                <w:color w:val="000000"/>
                <w:sz w:val="20"/>
                <w:szCs w:val="20"/>
              </w:rPr>
            </w:pPr>
          </w:p>
        </w:tc>
        <w:tc>
          <w:tcPr>
            <w:tcW w:w="1410" w:type="dxa"/>
            <w:tcBorders>
              <w:top w:val="single" w:sz="18" w:space="0" w:color="707070"/>
              <w:left w:val="single" w:sz="12" w:space="0" w:color="FFFFFF" w:themeColor="background1"/>
              <w:bottom w:val="single" w:sz="4" w:space="0" w:color="auto"/>
              <w:right w:val="single" w:sz="12" w:space="0" w:color="FFFFFF" w:themeColor="background1"/>
            </w:tcBorders>
            <w:shd w:val="clear" w:color="auto" w:fill="FFFFFF" w:themeFill="background1"/>
            <w:tcMar>
              <w:top w:w="43" w:type="dxa"/>
              <w:left w:w="81" w:type="dxa"/>
              <w:bottom w:w="22" w:type="dxa"/>
              <w:right w:w="81" w:type="dxa"/>
            </w:tcMar>
            <w:vAlign w:val="center"/>
          </w:tcPr>
          <w:p w14:paraId="24291E67" w14:textId="77777777" w:rsidR="009E28B8" w:rsidRPr="00BA09A3" w:rsidRDefault="009E28B8" w:rsidP="00DC192E">
            <w:pPr>
              <w:jc w:val="center"/>
              <w:rPr>
                <w:color w:val="000000"/>
                <w:sz w:val="20"/>
                <w:szCs w:val="20"/>
              </w:rPr>
            </w:pPr>
            <w:r w:rsidRPr="00BA09A3">
              <w:rPr>
                <w:color w:val="000000"/>
                <w:sz w:val="20"/>
                <w:szCs w:val="20"/>
              </w:rPr>
              <w:t>12</w:t>
            </w:r>
          </w:p>
        </w:tc>
        <w:tc>
          <w:tcPr>
            <w:tcW w:w="1545" w:type="dxa"/>
            <w:tcBorders>
              <w:top w:val="single" w:sz="18" w:space="0" w:color="707070"/>
              <w:left w:val="single" w:sz="12" w:space="0" w:color="FFFFFF" w:themeColor="background1"/>
              <w:bottom w:val="single" w:sz="4" w:space="0" w:color="auto"/>
              <w:right w:val="single" w:sz="12" w:space="0" w:color="FFFFFF" w:themeColor="background1"/>
            </w:tcBorders>
            <w:shd w:val="clear" w:color="auto" w:fill="FFFFFF" w:themeFill="background1"/>
            <w:tcMar>
              <w:top w:w="43" w:type="dxa"/>
              <w:left w:w="81" w:type="dxa"/>
              <w:bottom w:w="22" w:type="dxa"/>
              <w:right w:w="81" w:type="dxa"/>
            </w:tcMar>
            <w:vAlign w:val="center"/>
          </w:tcPr>
          <w:p w14:paraId="588011CF" w14:textId="77777777" w:rsidR="009E28B8" w:rsidRPr="00BA09A3" w:rsidRDefault="009E28B8" w:rsidP="00DC192E">
            <w:pPr>
              <w:ind w:left="18"/>
              <w:jc w:val="center"/>
              <w:rPr>
                <w:color w:val="000000"/>
                <w:sz w:val="20"/>
                <w:szCs w:val="20"/>
              </w:rPr>
            </w:pPr>
            <w:r w:rsidRPr="00BA09A3">
              <w:rPr>
                <w:color w:val="000000"/>
                <w:sz w:val="20"/>
                <w:szCs w:val="20"/>
              </w:rPr>
              <w:t>2</w:t>
            </w:r>
          </w:p>
        </w:tc>
        <w:tc>
          <w:tcPr>
            <w:tcW w:w="1347" w:type="dxa"/>
            <w:tcBorders>
              <w:top w:val="single" w:sz="18" w:space="0" w:color="707070"/>
              <w:left w:val="single" w:sz="12" w:space="0" w:color="FFFFFF" w:themeColor="background1"/>
              <w:bottom w:val="single" w:sz="4" w:space="0" w:color="auto"/>
              <w:right w:val="single" w:sz="12" w:space="0" w:color="FFFFFF" w:themeColor="background1"/>
            </w:tcBorders>
            <w:shd w:val="clear" w:color="auto" w:fill="FFFFFF" w:themeFill="background1"/>
          </w:tcPr>
          <w:p w14:paraId="1D10E060" w14:textId="74A5B096" w:rsidR="009E28B8" w:rsidRPr="00BA09A3" w:rsidRDefault="009E28B8" w:rsidP="00DC192E">
            <w:pPr>
              <w:ind w:left="18"/>
              <w:jc w:val="center"/>
              <w:rPr>
                <w:b/>
                <w:bCs/>
                <w:color w:val="000000"/>
                <w:sz w:val="20"/>
                <w:szCs w:val="20"/>
              </w:rPr>
            </w:pPr>
            <w:r w:rsidRPr="00BA09A3">
              <w:rPr>
                <w:b/>
                <w:bCs/>
                <w:color w:val="000000"/>
                <w:sz w:val="20"/>
                <w:szCs w:val="20"/>
              </w:rPr>
              <w:t>14</w:t>
            </w:r>
          </w:p>
        </w:tc>
        <w:tc>
          <w:tcPr>
            <w:tcW w:w="1654" w:type="dxa"/>
            <w:tcBorders>
              <w:top w:val="single" w:sz="18" w:space="0" w:color="707070"/>
              <w:left w:val="single" w:sz="12" w:space="0" w:color="FFFFFF" w:themeColor="background1"/>
              <w:bottom w:val="single" w:sz="4" w:space="0" w:color="auto"/>
              <w:right w:val="single" w:sz="4" w:space="0" w:color="auto"/>
            </w:tcBorders>
            <w:shd w:val="clear" w:color="auto" w:fill="FFFFFF" w:themeFill="background1"/>
            <w:tcMar>
              <w:top w:w="43" w:type="dxa"/>
              <w:left w:w="81" w:type="dxa"/>
              <w:bottom w:w="22" w:type="dxa"/>
              <w:right w:w="81" w:type="dxa"/>
            </w:tcMar>
            <w:vAlign w:val="center"/>
          </w:tcPr>
          <w:p w14:paraId="44381B79" w14:textId="13745C2A" w:rsidR="009E28B8" w:rsidRPr="00BA09A3" w:rsidRDefault="009E28B8" w:rsidP="00DC192E">
            <w:pPr>
              <w:ind w:left="18"/>
              <w:jc w:val="center"/>
              <w:rPr>
                <w:b/>
                <w:bCs/>
                <w:color w:val="000000"/>
                <w:sz w:val="20"/>
                <w:szCs w:val="20"/>
              </w:rPr>
            </w:pPr>
          </w:p>
        </w:tc>
      </w:tr>
    </w:tbl>
    <w:p w14:paraId="0053D192" w14:textId="77777777" w:rsidR="004E12DE" w:rsidRPr="00BA09A3" w:rsidRDefault="004E12DE" w:rsidP="00A044F6">
      <w:pPr>
        <w:spacing w:after="0" w:line="240" w:lineRule="auto"/>
        <w:ind w:left="446" w:right="446"/>
        <w:rPr>
          <w:i/>
          <w:iCs/>
          <w:sz w:val="16"/>
          <w:szCs w:val="16"/>
        </w:rPr>
      </w:pPr>
      <w:r w:rsidRPr="00BA09A3">
        <w:rPr>
          <w:i/>
          <w:iCs/>
          <w:sz w:val="16"/>
          <w:szCs w:val="16"/>
          <w:vertAlign w:val="superscript"/>
        </w:rPr>
        <w:t xml:space="preserve">1 </w:t>
      </w:r>
      <w:r w:rsidRPr="00BA09A3">
        <w:rPr>
          <w:i/>
          <w:iCs/>
          <w:sz w:val="16"/>
          <w:szCs w:val="16"/>
        </w:rPr>
        <w:t>For those sites with multiple landfills or landfill cells, the date above reflects the last cell’s estimated closure construction completion date for the site.</w:t>
      </w:r>
      <w:r w:rsidRPr="00BA09A3" w:rsidDel="00B343C8">
        <w:rPr>
          <w:i/>
          <w:iCs/>
          <w:sz w:val="16"/>
          <w:szCs w:val="16"/>
        </w:rPr>
        <w:t xml:space="preserve"> </w:t>
      </w:r>
      <w:r w:rsidRPr="00BA09A3">
        <w:rPr>
          <w:i/>
          <w:iCs/>
          <w:sz w:val="16"/>
          <w:szCs w:val="16"/>
        </w:rPr>
        <w:t>The “Estimated Closure Construction Completion” date reflects the estimated end of closure construction and estimated completion of major restoration activities, which may go beyond the submittal of the Closure Certification Report or the Certification of Removal Report.</w:t>
      </w:r>
    </w:p>
    <w:p w14:paraId="292C48FE" w14:textId="77777777" w:rsidR="004E12DE" w:rsidRPr="00BA09A3" w:rsidRDefault="004E12DE" w:rsidP="00A044F6">
      <w:pPr>
        <w:spacing w:after="0" w:line="240" w:lineRule="auto"/>
        <w:ind w:left="446" w:right="446"/>
        <w:rPr>
          <w:i/>
          <w:iCs/>
          <w:sz w:val="16"/>
          <w:szCs w:val="16"/>
        </w:rPr>
      </w:pPr>
      <w:r w:rsidRPr="00BA09A3" w:rsidDel="00A81BB0">
        <w:rPr>
          <w:i/>
          <w:iCs/>
          <w:sz w:val="16"/>
          <w:szCs w:val="16"/>
        </w:rPr>
        <w:t xml:space="preserve"> </w:t>
      </w:r>
      <w:r w:rsidRPr="00BA09A3">
        <w:rPr>
          <w:i/>
          <w:iCs/>
          <w:sz w:val="16"/>
          <w:szCs w:val="16"/>
          <w:vertAlign w:val="superscript"/>
        </w:rPr>
        <w:t>2</w:t>
      </w:r>
      <w:r w:rsidRPr="00BA09A3">
        <w:rPr>
          <w:i/>
          <w:sz w:val="16"/>
          <w:szCs w:val="16"/>
        </w:rPr>
        <w:t xml:space="preserve"> </w:t>
      </w:r>
      <w:r w:rsidRPr="00BA09A3">
        <w:rPr>
          <w:i/>
          <w:iCs/>
          <w:sz w:val="16"/>
          <w:szCs w:val="16"/>
        </w:rPr>
        <w:t>In 2023, a request was approved by the EPD to allow for the episodic disposal of CCR at Plant McIntosh.</w:t>
      </w:r>
    </w:p>
    <w:p w14:paraId="22F9036E" w14:textId="77777777" w:rsidR="004E12DE" w:rsidRPr="00BA09A3" w:rsidRDefault="004E12DE" w:rsidP="00A044F6">
      <w:pPr>
        <w:tabs>
          <w:tab w:val="left" w:pos="8820"/>
        </w:tabs>
        <w:spacing w:after="0" w:line="240" w:lineRule="auto"/>
        <w:ind w:left="446" w:right="446"/>
        <w:rPr>
          <w:i/>
          <w:iCs/>
          <w:sz w:val="16"/>
          <w:szCs w:val="16"/>
        </w:rPr>
      </w:pPr>
      <w:r w:rsidRPr="00BA09A3">
        <w:rPr>
          <w:i/>
          <w:sz w:val="16"/>
          <w:szCs w:val="16"/>
          <w:vertAlign w:val="superscript"/>
        </w:rPr>
        <w:t>A</w:t>
      </w:r>
      <w:r w:rsidRPr="00BA09A3">
        <w:rPr>
          <w:i/>
          <w:sz w:val="16"/>
          <w:szCs w:val="16"/>
        </w:rPr>
        <w:t xml:space="preserve"> Denotes actual closure construction completion date.</w:t>
      </w:r>
    </w:p>
    <w:p w14:paraId="3F7E0E4C" w14:textId="77777777" w:rsidR="000571BA" w:rsidRPr="00BA09A3" w:rsidRDefault="000571BA">
      <w:pPr>
        <w:jc w:val="left"/>
        <w:rPr>
          <w:rFonts w:asciiTheme="majorHAnsi" w:eastAsiaTheme="majorEastAsia" w:hAnsiTheme="majorHAnsi" w:cstheme="majorBidi"/>
          <w:b/>
          <w:bCs/>
          <w:color w:val="1F3864" w:themeColor="accent1" w:themeShade="80"/>
          <w:sz w:val="16"/>
          <w:szCs w:val="16"/>
        </w:rPr>
      </w:pPr>
      <w:bookmarkStart w:id="14" w:name="_Toc94197862"/>
      <w:bookmarkStart w:id="15" w:name="_Toc117253445"/>
      <w:bookmarkStart w:id="16" w:name="_Toc130200997"/>
      <w:r w:rsidRPr="00BA09A3">
        <w:rPr>
          <w:b/>
          <w:bCs/>
          <w:sz w:val="16"/>
          <w:szCs w:val="16"/>
        </w:rPr>
        <w:br w:type="page"/>
      </w:r>
    </w:p>
    <w:p w14:paraId="093A6BEE" w14:textId="3401AE07" w:rsidR="00756E07" w:rsidRPr="004F0C64" w:rsidRDefault="00756E07" w:rsidP="00DC575C">
      <w:pPr>
        <w:pStyle w:val="Heading1"/>
        <w:tabs>
          <w:tab w:val="left" w:pos="8246"/>
        </w:tabs>
        <w:spacing w:before="120" w:after="0"/>
        <w:rPr>
          <w:rFonts w:cs="Arial"/>
          <w:b/>
          <w:bCs/>
          <w:color w:val="171717" w:themeColor="background2" w:themeShade="1A"/>
          <w:sz w:val="32"/>
          <w:szCs w:val="32"/>
        </w:rPr>
      </w:pPr>
      <w:r w:rsidRPr="004F0C64">
        <w:rPr>
          <w:b/>
          <w:bCs/>
          <w:sz w:val="32"/>
          <w:szCs w:val="32"/>
        </w:rPr>
        <w:lastRenderedPageBreak/>
        <w:t xml:space="preserve">2.0 </w:t>
      </w:r>
      <w:r w:rsidR="00621633" w:rsidRPr="004F0C64">
        <w:rPr>
          <w:b/>
          <w:bCs/>
          <w:sz w:val="32"/>
          <w:szCs w:val="32"/>
        </w:rPr>
        <w:t>Regulatory and Strategy Updates</w:t>
      </w:r>
      <w:bookmarkEnd w:id="14"/>
      <w:bookmarkEnd w:id="15"/>
      <w:bookmarkEnd w:id="16"/>
      <w:r w:rsidR="00DC575C">
        <w:rPr>
          <w:b/>
          <w:bCs/>
          <w:sz w:val="32"/>
          <w:szCs w:val="32"/>
        </w:rPr>
        <w:tab/>
      </w:r>
    </w:p>
    <w:p w14:paraId="50F5259C" w14:textId="360293C3" w:rsidR="00C22976" w:rsidRDefault="00C22976" w:rsidP="00C942DB">
      <w:pPr>
        <w:spacing w:before="120" w:after="0" w:line="240" w:lineRule="auto"/>
      </w:pPr>
      <w:r>
        <w:t xml:space="preserve">The Company </w:t>
      </w:r>
      <w:r w:rsidR="00E03925">
        <w:t xml:space="preserve">routinely </w:t>
      </w:r>
      <w:r>
        <w:t xml:space="preserve">monitors </w:t>
      </w:r>
      <w:r w:rsidR="00881EAF">
        <w:t xml:space="preserve">and </w:t>
      </w:r>
      <w:r>
        <w:t>evaluate</w:t>
      </w:r>
      <w:r w:rsidR="00881EAF">
        <w:t>s</w:t>
      </w:r>
      <w:r>
        <w:t xml:space="preserve"> </w:t>
      </w:r>
      <w:r w:rsidR="00981A65">
        <w:t xml:space="preserve">environmental legislation and regulation </w:t>
      </w:r>
      <w:r w:rsidR="00881EAF">
        <w:t xml:space="preserve">applicable to electric generating units </w:t>
      </w:r>
      <w:r w:rsidR="00233FF2">
        <w:t xml:space="preserve">as a part of the </w:t>
      </w:r>
      <w:r w:rsidR="00981A65">
        <w:t>environmental compliance strategy</w:t>
      </w:r>
      <w:r w:rsidR="00233FF2">
        <w:t xml:space="preserve"> process</w:t>
      </w:r>
      <w:r w:rsidR="00981A65">
        <w:t xml:space="preserve">. </w:t>
      </w:r>
      <w:r w:rsidR="00E84E28">
        <w:t xml:space="preserve">This includes </w:t>
      </w:r>
      <w:r w:rsidR="002A0D97">
        <w:t>federal requirements</w:t>
      </w:r>
      <w:r w:rsidR="00E84E28">
        <w:t xml:space="preserve"> stemming from the Clean Water Act</w:t>
      </w:r>
      <w:r w:rsidR="003C2D6F">
        <w:t xml:space="preserve"> (“CWA”)</w:t>
      </w:r>
      <w:r w:rsidR="00E84E28">
        <w:t>, Resource Conservation and Recovery Act</w:t>
      </w:r>
      <w:r w:rsidR="003C2D6F">
        <w:t xml:space="preserve"> (“RCRA”)</w:t>
      </w:r>
      <w:r w:rsidR="002A0D97">
        <w:t xml:space="preserve">, </w:t>
      </w:r>
      <w:r w:rsidR="00677A9E">
        <w:t xml:space="preserve">Clean Air Act (“CAA”), </w:t>
      </w:r>
      <w:r w:rsidR="002A0D97">
        <w:t xml:space="preserve">or other legislation, as well as relevant state </w:t>
      </w:r>
      <w:r w:rsidR="00A87AD3">
        <w:t xml:space="preserve">rules </w:t>
      </w:r>
      <w:r w:rsidR="002A0D97">
        <w:t>and permitting requirements.</w:t>
      </w:r>
      <w:r w:rsidR="00881EAF">
        <w:t xml:space="preserve"> </w:t>
      </w:r>
      <w:r w:rsidR="00675609">
        <w:t xml:space="preserve">These </w:t>
      </w:r>
      <w:r w:rsidR="00315718">
        <w:t xml:space="preserve">policy and </w:t>
      </w:r>
      <w:r w:rsidR="00675609">
        <w:t xml:space="preserve">regulatory reviews and the associated compliance strategy </w:t>
      </w:r>
      <w:r w:rsidR="00315718">
        <w:t xml:space="preserve">that results from the ECS process </w:t>
      </w:r>
      <w:r w:rsidR="00675609">
        <w:t xml:space="preserve">are categorized into water, </w:t>
      </w:r>
      <w:r w:rsidR="000740E6">
        <w:t xml:space="preserve">CCR, and air </w:t>
      </w:r>
      <w:r w:rsidR="00315718">
        <w:t xml:space="preserve">topics </w:t>
      </w:r>
      <w:r w:rsidR="00675609">
        <w:t>in the subsections that follow.</w:t>
      </w:r>
    </w:p>
    <w:p w14:paraId="172D8CAB" w14:textId="452FFEF6" w:rsidR="003D3D5E" w:rsidRPr="00B36AEC" w:rsidRDefault="003D3D5E" w:rsidP="00C942DB">
      <w:pPr>
        <w:pStyle w:val="Heading1"/>
        <w:spacing w:before="120" w:after="0"/>
        <w:rPr>
          <w:b/>
          <w:bCs/>
        </w:rPr>
      </w:pPr>
      <w:bookmarkStart w:id="17" w:name="_Toc130200998"/>
      <w:bookmarkStart w:id="18" w:name="_Toc94197868"/>
      <w:bookmarkStart w:id="19" w:name="_Toc117253446"/>
      <w:r w:rsidRPr="00B36AEC">
        <w:rPr>
          <w:b/>
          <w:bCs/>
          <w:sz w:val="32"/>
          <w:szCs w:val="32"/>
        </w:rPr>
        <w:t>2.</w:t>
      </w:r>
      <w:r w:rsidR="000740E6">
        <w:rPr>
          <w:b/>
          <w:bCs/>
          <w:sz w:val="32"/>
          <w:szCs w:val="32"/>
        </w:rPr>
        <w:t>1</w:t>
      </w:r>
      <w:r w:rsidRPr="00B36AEC">
        <w:rPr>
          <w:b/>
          <w:bCs/>
          <w:sz w:val="32"/>
          <w:szCs w:val="32"/>
        </w:rPr>
        <w:t xml:space="preserve"> </w:t>
      </w:r>
      <w:r w:rsidR="00CA5373" w:rsidRPr="00B36AEC">
        <w:rPr>
          <w:b/>
          <w:bCs/>
          <w:sz w:val="32"/>
          <w:szCs w:val="32"/>
        </w:rPr>
        <w:t>Water</w:t>
      </w:r>
      <w:r w:rsidRPr="00B36AEC">
        <w:rPr>
          <w:b/>
          <w:bCs/>
          <w:sz w:val="32"/>
          <w:szCs w:val="32"/>
        </w:rPr>
        <w:t xml:space="preserve"> Regulatory and Strategy Updates</w:t>
      </w:r>
      <w:bookmarkEnd w:id="17"/>
    </w:p>
    <w:bookmarkEnd w:id="18"/>
    <w:bookmarkEnd w:id="19"/>
    <w:p w14:paraId="11E85BAA" w14:textId="6B5CEE6F" w:rsidR="00BE3E3C" w:rsidRDefault="00BE3E3C" w:rsidP="00C942DB">
      <w:pPr>
        <w:spacing w:before="120" w:after="0" w:line="240" w:lineRule="auto"/>
      </w:pPr>
      <w:r w:rsidRPr="00DB7156">
        <w:t xml:space="preserve">The water compliance strategy considers a variety of regulations related to water quality and </w:t>
      </w:r>
      <w:r>
        <w:t>use, including</w:t>
      </w:r>
      <w:r w:rsidRPr="00DB7156">
        <w:t xml:space="preserve"> both nationwide standards</w:t>
      </w:r>
      <w:r w:rsidR="005128A2">
        <w:t>,</w:t>
      </w:r>
      <w:r w:rsidRPr="00DB7156">
        <w:t xml:space="preserve"> as well as state requirements</w:t>
      </w:r>
      <w:r w:rsidR="001A788E">
        <w:t xml:space="preserve"> for the use </w:t>
      </w:r>
      <w:r>
        <w:t xml:space="preserve">and discharge </w:t>
      </w:r>
      <w:r w:rsidR="00763AA5">
        <w:t xml:space="preserve">of </w:t>
      </w:r>
      <w:r>
        <w:t>water.</w:t>
      </w:r>
      <w:r w:rsidRPr="00DB7156">
        <w:t xml:space="preserve"> </w:t>
      </w:r>
      <w:r w:rsidR="00B41E31">
        <w:t>Based on currently available</w:t>
      </w:r>
      <w:r w:rsidR="008B4396">
        <w:t xml:space="preserve"> information</w:t>
      </w:r>
      <w:r w:rsidR="00B41E31">
        <w:t>, t</w:t>
      </w:r>
      <w:r w:rsidR="00B41E31" w:rsidRPr="00DB7156">
        <w:t xml:space="preserve">he </w:t>
      </w:r>
      <w:r w:rsidR="00B41E31">
        <w:t xml:space="preserve">strategy to meet </w:t>
      </w:r>
      <w:r w:rsidR="00F7799B">
        <w:t xml:space="preserve">water compliance </w:t>
      </w:r>
      <w:r w:rsidR="00B41E31">
        <w:t>requirements is summarized in</w:t>
      </w:r>
      <w:r w:rsidR="00AF3FFA">
        <w:t xml:space="preserve"> </w:t>
      </w:r>
      <w:r w:rsidR="00AF3FFA">
        <w:rPr>
          <w:b/>
          <w:bCs/>
        </w:rPr>
        <w:t>Table 3</w:t>
      </w:r>
      <w:r w:rsidR="00C51B36">
        <w:t>.</w:t>
      </w:r>
      <w:r w:rsidR="00B41E31">
        <w:t xml:space="preserve"> </w:t>
      </w:r>
      <w:r w:rsidR="00C51B36">
        <w:t>T</w:t>
      </w:r>
      <w:r w:rsidR="00B41E31">
        <w:t xml:space="preserve">he areas of legislation, regulation, permitting, or other actions that set or are anticipated to set critical </w:t>
      </w:r>
      <w:r w:rsidR="00F7799B">
        <w:t>water</w:t>
      </w:r>
      <w:r w:rsidR="00B41E31">
        <w:t xml:space="preserve"> compliance requirements are </w:t>
      </w:r>
      <w:r w:rsidR="00B41E31" w:rsidRPr="00DB7156">
        <w:t>discussed below.</w:t>
      </w:r>
    </w:p>
    <w:p w14:paraId="5197C5DC" w14:textId="058B8272" w:rsidR="005872C9" w:rsidRPr="009944A6" w:rsidRDefault="005872C9" w:rsidP="0075178F">
      <w:pPr>
        <w:spacing w:before="120" w:after="0" w:line="276" w:lineRule="auto"/>
        <w:jc w:val="center"/>
        <w:rPr>
          <w:rFonts w:cs="Arial"/>
          <w:b/>
          <w:color w:val="171717" w:themeColor="background2" w:themeShade="1A"/>
          <w:sz w:val="20"/>
          <w:szCs w:val="20"/>
        </w:rPr>
      </w:pPr>
      <w:bookmarkStart w:id="20" w:name="_Ref129869901"/>
      <w:r w:rsidRPr="009944A6">
        <w:rPr>
          <w:rFonts w:cs="Arial"/>
          <w:b/>
          <w:color w:val="171717" w:themeColor="background2" w:themeShade="1A"/>
          <w:sz w:val="20"/>
          <w:szCs w:val="20"/>
        </w:rPr>
        <w:t xml:space="preserve">Table </w:t>
      </w:r>
      <w:r w:rsidR="009B5C8F" w:rsidRPr="009944A6">
        <w:rPr>
          <w:rFonts w:cs="Arial"/>
          <w:b/>
          <w:color w:val="171717" w:themeColor="background2" w:themeShade="1A"/>
          <w:sz w:val="20"/>
          <w:szCs w:val="20"/>
        </w:rPr>
        <w:fldChar w:fldCharType="begin"/>
      </w:r>
      <w:r w:rsidR="009B5C8F" w:rsidRPr="009944A6">
        <w:rPr>
          <w:rFonts w:cs="Arial"/>
          <w:b/>
          <w:color w:val="171717" w:themeColor="background2" w:themeShade="1A"/>
          <w:sz w:val="20"/>
          <w:szCs w:val="20"/>
        </w:rPr>
        <w:instrText xml:space="preserve"> SEQ Table  \* ARABIC \* MERGEFORMAT </w:instrText>
      </w:r>
      <w:r w:rsidR="009B5C8F" w:rsidRPr="009944A6">
        <w:rPr>
          <w:rFonts w:cs="Arial"/>
          <w:b/>
          <w:color w:val="171717" w:themeColor="background2" w:themeShade="1A"/>
          <w:sz w:val="20"/>
          <w:szCs w:val="20"/>
        </w:rPr>
        <w:fldChar w:fldCharType="separate"/>
      </w:r>
      <w:r w:rsidR="0043583C">
        <w:rPr>
          <w:rFonts w:cs="Arial"/>
          <w:b/>
          <w:noProof/>
          <w:color w:val="171717" w:themeColor="background2" w:themeShade="1A"/>
          <w:sz w:val="20"/>
          <w:szCs w:val="20"/>
        </w:rPr>
        <w:t>3</w:t>
      </w:r>
      <w:r w:rsidR="009B5C8F" w:rsidRPr="009944A6">
        <w:rPr>
          <w:rFonts w:cs="Arial"/>
          <w:b/>
          <w:color w:val="171717" w:themeColor="background2" w:themeShade="1A"/>
          <w:sz w:val="20"/>
          <w:szCs w:val="20"/>
        </w:rPr>
        <w:fldChar w:fldCharType="end"/>
      </w:r>
      <w:bookmarkEnd w:id="20"/>
      <w:r w:rsidR="005128A2">
        <w:rPr>
          <w:rFonts w:cs="Arial"/>
          <w:b/>
          <w:color w:val="171717" w:themeColor="background2" w:themeShade="1A"/>
          <w:sz w:val="20"/>
          <w:szCs w:val="20"/>
        </w:rPr>
        <w:t>.</w:t>
      </w:r>
      <w:r w:rsidRPr="009944A6">
        <w:rPr>
          <w:rFonts w:cs="Arial"/>
          <w:b/>
          <w:color w:val="171717" w:themeColor="background2" w:themeShade="1A"/>
          <w:sz w:val="20"/>
          <w:szCs w:val="20"/>
        </w:rPr>
        <w:t xml:space="preserve"> Cooling Type / Wastewater Treatment / ELG Technologies</w:t>
      </w:r>
    </w:p>
    <w:tbl>
      <w:tblPr>
        <w:tblW w:w="9890" w:type="dxa"/>
        <w:jc w:val="center"/>
        <w:tblLook w:val="04A0" w:firstRow="1" w:lastRow="0" w:firstColumn="1" w:lastColumn="0" w:noHBand="0" w:noVBand="1"/>
      </w:tblPr>
      <w:tblGrid>
        <w:gridCol w:w="1606"/>
        <w:gridCol w:w="1626"/>
        <w:gridCol w:w="1255"/>
        <w:gridCol w:w="1263"/>
        <w:gridCol w:w="1260"/>
        <w:gridCol w:w="1350"/>
        <w:gridCol w:w="1530"/>
      </w:tblGrid>
      <w:tr w:rsidR="005872C9" w:rsidRPr="003008B2" w14:paraId="02A36E56" w14:textId="77777777" w:rsidTr="009944A6">
        <w:trPr>
          <w:trHeight w:val="475"/>
          <w:jc w:val="center"/>
        </w:trPr>
        <w:tc>
          <w:tcPr>
            <w:tcW w:w="1606" w:type="dxa"/>
            <w:tcBorders>
              <w:top w:val="single" w:sz="8" w:space="0" w:color="48702E" w:themeColor="accent6" w:themeShade="A6"/>
              <w:left w:val="single" w:sz="8" w:space="0" w:color="48702E" w:themeColor="accent6" w:themeShade="A6"/>
              <w:bottom w:val="single" w:sz="8" w:space="0" w:color="48702E" w:themeColor="accent6" w:themeShade="A6"/>
              <w:right w:val="single" w:sz="8" w:space="0" w:color="48702E" w:themeColor="accent6" w:themeShade="A6"/>
            </w:tcBorders>
            <w:shd w:val="clear" w:color="auto" w:fill="E7E6E6" w:themeFill="background2"/>
            <w:noWrap/>
            <w:vAlign w:val="center"/>
            <w:hideMark/>
          </w:tcPr>
          <w:p w14:paraId="468E7664" w14:textId="77777777" w:rsidR="005872C9" w:rsidRPr="003008B2" w:rsidRDefault="005872C9" w:rsidP="00AC5489">
            <w:pPr>
              <w:spacing w:after="0" w:line="240" w:lineRule="auto"/>
              <w:jc w:val="left"/>
              <w:rPr>
                <w:rFonts w:eastAsia="Times New Roman" w:cs="Arial"/>
                <w:b/>
                <w:bCs/>
                <w:color w:val="000000"/>
                <w:sz w:val="20"/>
                <w:szCs w:val="20"/>
              </w:rPr>
            </w:pPr>
            <w:r w:rsidRPr="003008B2">
              <w:rPr>
                <w:rFonts w:eastAsia="Times New Roman" w:cs="Arial"/>
                <w:b/>
                <w:bCs/>
                <w:color w:val="000000" w:themeColor="text1"/>
                <w:sz w:val="20"/>
                <w:szCs w:val="20"/>
              </w:rPr>
              <w:t>Unit</w:t>
            </w:r>
          </w:p>
        </w:tc>
        <w:tc>
          <w:tcPr>
            <w:tcW w:w="1626" w:type="dxa"/>
            <w:tcBorders>
              <w:top w:val="single" w:sz="8" w:space="0" w:color="48702E" w:themeColor="accent6" w:themeShade="A6"/>
              <w:left w:val="nil"/>
              <w:bottom w:val="single" w:sz="8" w:space="0" w:color="48702E" w:themeColor="accent6" w:themeShade="A6"/>
              <w:right w:val="single" w:sz="8" w:space="0" w:color="48702E" w:themeColor="accent6" w:themeShade="A6"/>
            </w:tcBorders>
            <w:shd w:val="clear" w:color="auto" w:fill="E7E6E6" w:themeFill="background2"/>
            <w:vAlign w:val="center"/>
            <w:hideMark/>
          </w:tcPr>
          <w:p w14:paraId="6260C2A0" w14:textId="77777777" w:rsidR="005872C9" w:rsidRPr="003008B2" w:rsidRDefault="005872C9" w:rsidP="00AC5489">
            <w:pPr>
              <w:spacing w:after="0" w:line="240" w:lineRule="auto"/>
              <w:jc w:val="left"/>
              <w:rPr>
                <w:rFonts w:eastAsia="Times New Roman" w:cs="Arial"/>
                <w:b/>
                <w:bCs/>
                <w:color w:val="000000"/>
                <w:sz w:val="20"/>
                <w:szCs w:val="20"/>
              </w:rPr>
            </w:pPr>
            <w:r w:rsidRPr="003008B2">
              <w:rPr>
                <w:rFonts w:eastAsia="Times New Roman" w:cs="Arial"/>
                <w:b/>
                <w:bCs/>
                <w:color w:val="000000"/>
                <w:sz w:val="20"/>
                <w:szCs w:val="20"/>
              </w:rPr>
              <w:t>Cooling Type</w:t>
            </w:r>
          </w:p>
        </w:tc>
        <w:tc>
          <w:tcPr>
            <w:tcW w:w="1255" w:type="dxa"/>
            <w:tcBorders>
              <w:top w:val="single" w:sz="8" w:space="0" w:color="48702E" w:themeColor="accent6" w:themeShade="A6"/>
              <w:left w:val="nil"/>
              <w:bottom w:val="single" w:sz="8" w:space="0" w:color="48702E" w:themeColor="accent6" w:themeShade="A6"/>
              <w:right w:val="single" w:sz="8" w:space="0" w:color="538135" w:themeColor="accent6" w:themeShade="BF"/>
            </w:tcBorders>
            <w:shd w:val="clear" w:color="auto" w:fill="E7E6E6" w:themeFill="background2"/>
            <w:vAlign w:val="center"/>
            <w:hideMark/>
          </w:tcPr>
          <w:p w14:paraId="35176E56" w14:textId="026F27CC" w:rsidR="005872C9" w:rsidRPr="003008B2" w:rsidRDefault="005872C9" w:rsidP="00AC5489">
            <w:pPr>
              <w:spacing w:after="0" w:line="240" w:lineRule="auto"/>
              <w:jc w:val="left"/>
              <w:rPr>
                <w:rFonts w:eastAsia="Times New Roman" w:cs="Arial"/>
                <w:b/>
                <w:bCs/>
                <w:color w:val="000000"/>
                <w:sz w:val="20"/>
                <w:szCs w:val="20"/>
              </w:rPr>
            </w:pPr>
            <w:r w:rsidRPr="003008B2">
              <w:rPr>
                <w:rFonts w:eastAsia="Times New Roman" w:cs="Arial"/>
                <w:b/>
                <w:bCs/>
                <w:color w:val="000000"/>
                <w:sz w:val="20"/>
                <w:szCs w:val="20"/>
              </w:rPr>
              <w:t xml:space="preserve">316(b) </w:t>
            </w:r>
          </w:p>
        </w:tc>
        <w:tc>
          <w:tcPr>
            <w:tcW w:w="1263" w:type="dxa"/>
            <w:tcBorders>
              <w:top w:val="single" w:sz="8" w:space="0" w:color="48702E" w:themeColor="accent6" w:themeShade="A6"/>
              <w:left w:val="nil"/>
              <w:bottom w:val="single" w:sz="8" w:space="0" w:color="48702E" w:themeColor="accent6" w:themeShade="A6"/>
              <w:right w:val="single" w:sz="8" w:space="0" w:color="48702E" w:themeColor="accent6" w:themeShade="A6"/>
            </w:tcBorders>
            <w:shd w:val="clear" w:color="auto" w:fill="E7E6E6" w:themeFill="background2"/>
            <w:vAlign w:val="center"/>
            <w:hideMark/>
          </w:tcPr>
          <w:p w14:paraId="5EF09688" w14:textId="12F84102" w:rsidR="005872C9" w:rsidRPr="003008B2" w:rsidRDefault="00243867" w:rsidP="00AC5489">
            <w:pPr>
              <w:spacing w:after="0" w:line="240" w:lineRule="auto"/>
              <w:jc w:val="left"/>
              <w:rPr>
                <w:rFonts w:eastAsia="Times New Roman" w:cs="Arial"/>
                <w:b/>
                <w:bCs/>
                <w:color w:val="000000"/>
                <w:sz w:val="20"/>
                <w:szCs w:val="20"/>
              </w:rPr>
            </w:pPr>
            <w:r>
              <w:rPr>
                <w:rFonts w:eastAsia="Times New Roman" w:cs="Arial"/>
                <w:b/>
                <w:bCs/>
                <w:color w:val="000000"/>
                <w:sz w:val="20"/>
                <w:szCs w:val="20"/>
              </w:rPr>
              <w:t>Low Volume</w:t>
            </w:r>
            <w:r w:rsidR="00CB3B46">
              <w:rPr>
                <w:rFonts w:eastAsia="Times New Roman" w:cs="Arial"/>
                <w:b/>
                <w:bCs/>
                <w:color w:val="000000"/>
                <w:sz w:val="20"/>
                <w:szCs w:val="20"/>
              </w:rPr>
              <w:t xml:space="preserve"> Wastewater</w:t>
            </w:r>
          </w:p>
        </w:tc>
        <w:tc>
          <w:tcPr>
            <w:tcW w:w="1260" w:type="dxa"/>
            <w:tcBorders>
              <w:top w:val="single" w:sz="8" w:space="0" w:color="48702E" w:themeColor="accent6" w:themeShade="A6"/>
              <w:left w:val="nil"/>
              <w:bottom w:val="single" w:sz="8" w:space="0" w:color="48702E" w:themeColor="accent6" w:themeShade="A6"/>
              <w:right w:val="single" w:sz="8" w:space="0" w:color="48702E" w:themeColor="accent6" w:themeShade="A6"/>
            </w:tcBorders>
            <w:shd w:val="clear" w:color="auto" w:fill="E7E6E6" w:themeFill="background2"/>
            <w:vAlign w:val="center"/>
            <w:hideMark/>
          </w:tcPr>
          <w:p w14:paraId="4ECBCF93" w14:textId="5CC19159" w:rsidR="005872C9" w:rsidRPr="003008B2" w:rsidRDefault="00A132F3" w:rsidP="00AC5489">
            <w:pPr>
              <w:spacing w:after="0" w:line="240" w:lineRule="auto"/>
              <w:jc w:val="left"/>
              <w:rPr>
                <w:rFonts w:eastAsia="Times New Roman" w:cs="Arial"/>
                <w:b/>
                <w:bCs/>
                <w:color w:val="000000"/>
                <w:sz w:val="20"/>
                <w:szCs w:val="20"/>
              </w:rPr>
            </w:pPr>
            <w:r>
              <w:rPr>
                <w:rFonts w:eastAsia="Times New Roman" w:cs="Arial"/>
                <w:b/>
                <w:bCs/>
                <w:color w:val="000000"/>
                <w:sz w:val="20"/>
                <w:szCs w:val="20"/>
              </w:rPr>
              <w:t>Bottom Ash</w:t>
            </w:r>
          </w:p>
        </w:tc>
        <w:tc>
          <w:tcPr>
            <w:tcW w:w="1350" w:type="dxa"/>
            <w:tcBorders>
              <w:top w:val="single" w:sz="8" w:space="0" w:color="48702E" w:themeColor="accent6" w:themeShade="A6"/>
              <w:left w:val="nil"/>
              <w:bottom w:val="single" w:sz="8" w:space="0" w:color="48702E" w:themeColor="accent6" w:themeShade="A6"/>
              <w:right w:val="single" w:sz="8" w:space="0" w:color="48702E" w:themeColor="accent6" w:themeShade="A6"/>
            </w:tcBorders>
            <w:shd w:val="clear" w:color="auto" w:fill="E7E6E6" w:themeFill="background2"/>
            <w:vAlign w:val="center"/>
            <w:hideMark/>
          </w:tcPr>
          <w:p w14:paraId="7BE71104" w14:textId="77777777" w:rsidR="005872C9" w:rsidRPr="003008B2" w:rsidRDefault="005872C9" w:rsidP="00AC5489">
            <w:pPr>
              <w:spacing w:after="0" w:line="240" w:lineRule="auto"/>
              <w:jc w:val="left"/>
              <w:rPr>
                <w:rFonts w:eastAsia="Times New Roman" w:cs="Arial"/>
                <w:b/>
                <w:bCs/>
                <w:color w:val="000000"/>
                <w:sz w:val="20"/>
                <w:szCs w:val="20"/>
              </w:rPr>
            </w:pPr>
            <w:r w:rsidRPr="003008B2">
              <w:rPr>
                <w:rFonts w:eastAsia="Times New Roman" w:cs="Arial"/>
                <w:b/>
                <w:bCs/>
                <w:color w:val="000000"/>
                <w:sz w:val="20"/>
                <w:szCs w:val="20"/>
              </w:rPr>
              <w:t>Fly Ash</w:t>
            </w:r>
          </w:p>
        </w:tc>
        <w:tc>
          <w:tcPr>
            <w:tcW w:w="1530" w:type="dxa"/>
            <w:tcBorders>
              <w:top w:val="single" w:sz="8" w:space="0" w:color="48702E" w:themeColor="accent6" w:themeShade="A6"/>
              <w:left w:val="nil"/>
              <w:bottom w:val="single" w:sz="8" w:space="0" w:color="48702E" w:themeColor="accent6" w:themeShade="A6"/>
              <w:right w:val="single" w:sz="8" w:space="0" w:color="48702E" w:themeColor="accent6" w:themeShade="A6"/>
            </w:tcBorders>
            <w:shd w:val="clear" w:color="auto" w:fill="E7E6E6" w:themeFill="background2"/>
            <w:vAlign w:val="center"/>
            <w:hideMark/>
          </w:tcPr>
          <w:p w14:paraId="6A84C5C1" w14:textId="2D93A2B9" w:rsidR="005872C9" w:rsidRPr="003008B2" w:rsidRDefault="00CB3B46" w:rsidP="00AC5489">
            <w:pPr>
              <w:spacing w:after="0" w:line="240" w:lineRule="auto"/>
              <w:jc w:val="left"/>
              <w:rPr>
                <w:rFonts w:eastAsia="Times New Roman" w:cs="Arial"/>
                <w:b/>
                <w:bCs/>
                <w:color w:val="000000"/>
              </w:rPr>
            </w:pPr>
            <w:r>
              <w:rPr>
                <w:rFonts w:eastAsia="Times New Roman" w:cs="Arial"/>
                <w:b/>
                <w:bCs/>
                <w:sz w:val="20"/>
                <w:szCs w:val="18"/>
              </w:rPr>
              <w:t>Scrubber Wastewater</w:t>
            </w:r>
          </w:p>
        </w:tc>
      </w:tr>
      <w:tr w:rsidR="005872C9" w:rsidRPr="003008B2" w14:paraId="32D0A114" w14:textId="77777777" w:rsidTr="005C0609">
        <w:trPr>
          <w:trHeight w:val="510"/>
          <w:jc w:val="center"/>
        </w:trPr>
        <w:tc>
          <w:tcPr>
            <w:tcW w:w="1606" w:type="dxa"/>
            <w:tcBorders>
              <w:top w:val="nil"/>
              <w:left w:val="single" w:sz="8" w:space="0" w:color="48702E" w:themeColor="accent6" w:themeShade="A6"/>
              <w:bottom w:val="single" w:sz="8" w:space="0" w:color="48702E" w:themeColor="accent6" w:themeShade="A6"/>
              <w:right w:val="single" w:sz="8" w:space="0" w:color="48702E" w:themeColor="accent6" w:themeShade="A6"/>
            </w:tcBorders>
            <w:shd w:val="clear" w:color="auto" w:fill="auto"/>
            <w:noWrap/>
            <w:vAlign w:val="center"/>
            <w:hideMark/>
          </w:tcPr>
          <w:p w14:paraId="52CC77F6" w14:textId="0F9D3E10" w:rsidR="005872C9" w:rsidRPr="003C6F23" w:rsidRDefault="005872C9" w:rsidP="00AC5489">
            <w:pPr>
              <w:spacing w:after="0" w:line="240" w:lineRule="auto"/>
              <w:jc w:val="left"/>
              <w:rPr>
                <w:rFonts w:eastAsia="Times New Roman" w:cs="Arial"/>
                <w:color w:val="000000"/>
                <w:sz w:val="20"/>
                <w:szCs w:val="20"/>
                <w:vertAlign w:val="superscript"/>
              </w:rPr>
            </w:pPr>
            <w:r w:rsidRPr="003008B2">
              <w:rPr>
                <w:rFonts w:eastAsia="Times New Roman" w:cs="Arial"/>
                <w:color w:val="000000"/>
                <w:sz w:val="20"/>
                <w:szCs w:val="20"/>
              </w:rPr>
              <w:t xml:space="preserve">Bowen 1 </w:t>
            </w:r>
            <w:r>
              <w:rPr>
                <w:rFonts w:eastAsia="Times New Roman" w:cs="Arial"/>
                <w:color w:val="000000"/>
                <w:sz w:val="20"/>
                <w:szCs w:val="20"/>
              </w:rPr>
              <w:t>&amp; 2</w:t>
            </w:r>
            <w:r w:rsidR="003C6F23">
              <w:rPr>
                <w:rFonts w:eastAsia="Times New Roman" w:cs="Arial"/>
                <w:color w:val="000000"/>
                <w:sz w:val="20"/>
                <w:szCs w:val="20"/>
                <w:vertAlign w:val="superscript"/>
              </w:rPr>
              <w:t>1</w:t>
            </w:r>
          </w:p>
        </w:tc>
        <w:tc>
          <w:tcPr>
            <w:tcW w:w="1626" w:type="dxa"/>
            <w:tcBorders>
              <w:top w:val="nil"/>
              <w:left w:val="nil"/>
              <w:bottom w:val="single" w:sz="8" w:space="0" w:color="48702E" w:themeColor="accent6" w:themeShade="A6"/>
              <w:right w:val="single" w:sz="8" w:space="0" w:color="48702E" w:themeColor="accent6" w:themeShade="A6"/>
            </w:tcBorders>
            <w:shd w:val="clear" w:color="auto" w:fill="auto"/>
            <w:noWrap/>
            <w:vAlign w:val="center"/>
            <w:hideMark/>
          </w:tcPr>
          <w:p w14:paraId="09230458"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Closed-Cycle</w:t>
            </w:r>
          </w:p>
        </w:tc>
        <w:tc>
          <w:tcPr>
            <w:tcW w:w="1255" w:type="dxa"/>
            <w:tcBorders>
              <w:top w:val="nil"/>
              <w:left w:val="nil"/>
              <w:bottom w:val="single" w:sz="8" w:space="0" w:color="48702E" w:themeColor="accent6" w:themeShade="A6"/>
              <w:right w:val="single" w:sz="8" w:space="0" w:color="538135" w:themeColor="accent6" w:themeShade="BF"/>
            </w:tcBorders>
            <w:shd w:val="clear" w:color="auto" w:fill="auto"/>
            <w:vAlign w:val="center"/>
            <w:hideMark/>
          </w:tcPr>
          <w:p w14:paraId="1F6A64A2"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Flow Monitoring</w:t>
            </w:r>
          </w:p>
        </w:tc>
        <w:tc>
          <w:tcPr>
            <w:tcW w:w="1263" w:type="dxa"/>
            <w:tcBorders>
              <w:top w:val="nil"/>
              <w:left w:val="nil"/>
              <w:bottom w:val="single" w:sz="8" w:space="0" w:color="48702E" w:themeColor="accent6" w:themeShade="A6"/>
              <w:right w:val="single" w:sz="8" w:space="0" w:color="48702E" w:themeColor="accent6" w:themeShade="A6"/>
            </w:tcBorders>
            <w:shd w:val="clear" w:color="auto" w:fill="auto"/>
            <w:noWrap/>
            <w:vAlign w:val="center"/>
            <w:hideMark/>
          </w:tcPr>
          <w:p w14:paraId="4FA36B53" w14:textId="0A573EEE"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Phys</w:t>
            </w:r>
            <w:r w:rsidR="009A1D78">
              <w:rPr>
                <w:rFonts w:eastAsia="Times New Roman" w:cs="Arial"/>
                <w:color w:val="000000"/>
                <w:sz w:val="20"/>
                <w:szCs w:val="20"/>
              </w:rPr>
              <w:t>ical-Chemical</w:t>
            </w:r>
          </w:p>
        </w:tc>
        <w:tc>
          <w:tcPr>
            <w:tcW w:w="1260" w:type="dxa"/>
            <w:tcBorders>
              <w:top w:val="nil"/>
              <w:left w:val="nil"/>
              <w:bottom w:val="single" w:sz="8" w:space="0" w:color="48702E" w:themeColor="accent6" w:themeShade="A6"/>
              <w:right w:val="single" w:sz="8" w:space="0" w:color="48702E" w:themeColor="accent6" w:themeShade="A6"/>
            </w:tcBorders>
            <w:shd w:val="clear" w:color="auto" w:fill="auto"/>
            <w:noWrap/>
            <w:vAlign w:val="center"/>
            <w:hideMark/>
          </w:tcPr>
          <w:p w14:paraId="4B592C23" w14:textId="7A51368B" w:rsidR="005872C9" w:rsidRPr="003008B2" w:rsidRDefault="00820A0E" w:rsidP="00AC5489">
            <w:pPr>
              <w:spacing w:after="0" w:line="240" w:lineRule="auto"/>
              <w:jc w:val="left"/>
              <w:rPr>
                <w:rFonts w:eastAsia="Times New Roman" w:cs="Arial"/>
                <w:color w:val="000000"/>
                <w:sz w:val="20"/>
                <w:szCs w:val="20"/>
              </w:rPr>
            </w:pPr>
            <w:r>
              <w:rPr>
                <w:rFonts w:eastAsia="Times New Roman" w:cs="Arial"/>
                <w:color w:val="000000"/>
                <w:sz w:val="20"/>
                <w:szCs w:val="20"/>
              </w:rPr>
              <w:t>Remote Mechanical Drag Chain</w:t>
            </w:r>
          </w:p>
        </w:tc>
        <w:tc>
          <w:tcPr>
            <w:tcW w:w="1350" w:type="dxa"/>
            <w:tcBorders>
              <w:top w:val="nil"/>
              <w:left w:val="nil"/>
              <w:bottom w:val="single" w:sz="8" w:space="0" w:color="48702E" w:themeColor="accent6" w:themeShade="A6"/>
              <w:right w:val="single" w:sz="8" w:space="0" w:color="48702E" w:themeColor="accent6" w:themeShade="A6"/>
            </w:tcBorders>
            <w:shd w:val="clear" w:color="auto" w:fill="auto"/>
            <w:noWrap/>
            <w:vAlign w:val="center"/>
            <w:hideMark/>
          </w:tcPr>
          <w:p w14:paraId="36FF2484"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Dry Handling</w:t>
            </w:r>
          </w:p>
        </w:tc>
        <w:tc>
          <w:tcPr>
            <w:tcW w:w="1530" w:type="dxa"/>
            <w:tcBorders>
              <w:top w:val="nil"/>
              <w:left w:val="nil"/>
              <w:bottom w:val="single" w:sz="8" w:space="0" w:color="48702E" w:themeColor="accent6" w:themeShade="A6"/>
              <w:right w:val="single" w:sz="8" w:space="0" w:color="48702E" w:themeColor="accent6" w:themeShade="A6"/>
            </w:tcBorders>
            <w:shd w:val="clear" w:color="auto" w:fill="auto"/>
            <w:noWrap/>
            <w:vAlign w:val="center"/>
            <w:hideMark/>
          </w:tcPr>
          <w:p w14:paraId="7528A1B5" w14:textId="1E62982C" w:rsidR="005872C9" w:rsidRPr="003008B2" w:rsidRDefault="003B268F" w:rsidP="00AC5489">
            <w:pPr>
              <w:spacing w:after="0" w:line="240" w:lineRule="auto"/>
              <w:jc w:val="left"/>
              <w:rPr>
                <w:rFonts w:eastAsia="Times New Roman" w:cs="Arial"/>
                <w:color w:val="000000"/>
                <w:sz w:val="20"/>
                <w:szCs w:val="20"/>
              </w:rPr>
            </w:pPr>
            <w:r>
              <w:rPr>
                <w:rFonts w:eastAsia="Times New Roman" w:cs="Arial"/>
                <w:color w:val="000000" w:themeColor="text1"/>
                <w:sz w:val="20"/>
                <w:szCs w:val="20"/>
              </w:rPr>
              <w:t xml:space="preserve">Retirement by 12/31/2028 or </w:t>
            </w:r>
            <w:r w:rsidRPr="003008B2">
              <w:rPr>
                <w:rFonts w:eastAsia="Times New Roman" w:cs="Arial"/>
                <w:color w:val="000000"/>
                <w:sz w:val="20"/>
                <w:szCs w:val="20"/>
              </w:rPr>
              <w:t xml:space="preserve"> </w:t>
            </w:r>
            <w:r w:rsidR="005872C9" w:rsidRPr="003008B2">
              <w:rPr>
                <w:rFonts w:eastAsia="Times New Roman" w:cs="Arial"/>
                <w:color w:val="000000"/>
                <w:sz w:val="20"/>
                <w:szCs w:val="20"/>
              </w:rPr>
              <w:t>Phys</w:t>
            </w:r>
            <w:r w:rsidR="00FB3725">
              <w:rPr>
                <w:rFonts w:eastAsia="Times New Roman" w:cs="Arial"/>
                <w:color w:val="000000"/>
                <w:sz w:val="20"/>
                <w:szCs w:val="20"/>
              </w:rPr>
              <w:t>-Chem-Bio</w:t>
            </w:r>
          </w:p>
        </w:tc>
      </w:tr>
      <w:tr w:rsidR="005872C9" w:rsidRPr="003008B2" w14:paraId="75EDEB4E" w14:textId="77777777" w:rsidTr="005C0609">
        <w:trPr>
          <w:trHeight w:val="510"/>
          <w:jc w:val="center"/>
        </w:trPr>
        <w:tc>
          <w:tcPr>
            <w:tcW w:w="1606" w:type="dxa"/>
            <w:tcBorders>
              <w:top w:val="nil"/>
              <w:left w:val="single" w:sz="8" w:space="0" w:color="48702E" w:themeColor="accent6" w:themeShade="A6"/>
              <w:bottom w:val="single" w:sz="8" w:space="0" w:color="48702E" w:themeColor="accent6" w:themeShade="A6"/>
              <w:right w:val="single" w:sz="8" w:space="0" w:color="48702E" w:themeColor="accent6" w:themeShade="A6"/>
            </w:tcBorders>
            <w:shd w:val="clear" w:color="auto" w:fill="auto"/>
            <w:noWrap/>
            <w:vAlign w:val="center"/>
          </w:tcPr>
          <w:p w14:paraId="08C04DB7" w14:textId="77777777" w:rsidR="005872C9" w:rsidRPr="003008B2" w:rsidRDefault="005872C9" w:rsidP="00AC5489">
            <w:pPr>
              <w:spacing w:after="0" w:line="240" w:lineRule="auto"/>
              <w:jc w:val="left"/>
              <w:rPr>
                <w:rFonts w:eastAsia="Times New Roman" w:cs="Arial"/>
                <w:color w:val="000000"/>
                <w:sz w:val="20"/>
                <w:szCs w:val="20"/>
              </w:rPr>
            </w:pPr>
            <w:r>
              <w:rPr>
                <w:rFonts w:eastAsia="Times New Roman" w:cs="Arial"/>
                <w:color w:val="000000"/>
                <w:sz w:val="20"/>
                <w:szCs w:val="20"/>
              </w:rPr>
              <w:t>Bowen 3 &amp; 4</w:t>
            </w:r>
          </w:p>
        </w:tc>
        <w:tc>
          <w:tcPr>
            <w:tcW w:w="1626" w:type="dxa"/>
            <w:tcBorders>
              <w:top w:val="nil"/>
              <w:left w:val="nil"/>
              <w:bottom w:val="single" w:sz="8" w:space="0" w:color="48702E" w:themeColor="accent6" w:themeShade="A6"/>
              <w:right w:val="single" w:sz="8" w:space="0" w:color="48702E" w:themeColor="accent6" w:themeShade="A6"/>
            </w:tcBorders>
            <w:shd w:val="clear" w:color="auto" w:fill="auto"/>
            <w:noWrap/>
            <w:vAlign w:val="center"/>
          </w:tcPr>
          <w:p w14:paraId="547229F7"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Closed-Cycle</w:t>
            </w:r>
          </w:p>
        </w:tc>
        <w:tc>
          <w:tcPr>
            <w:tcW w:w="1255" w:type="dxa"/>
            <w:tcBorders>
              <w:top w:val="nil"/>
              <w:left w:val="nil"/>
              <w:bottom w:val="single" w:sz="8" w:space="0" w:color="48702E" w:themeColor="accent6" w:themeShade="A6"/>
              <w:right w:val="single" w:sz="8" w:space="0" w:color="538135" w:themeColor="accent6" w:themeShade="BF"/>
            </w:tcBorders>
            <w:shd w:val="clear" w:color="auto" w:fill="auto"/>
            <w:vAlign w:val="center"/>
          </w:tcPr>
          <w:p w14:paraId="3AC0C352"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Flow Monitoring</w:t>
            </w:r>
          </w:p>
        </w:tc>
        <w:tc>
          <w:tcPr>
            <w:tcW w:w="1263" w:type="dxa"/>
            <w:tcBorders>
              <w:top w:val="nil"/>
              <w:left w:val="nil"/>
              <w:bottom w:val="single" w:sz="8" w:space="0" w:color="48702E" w:themeColor="accent6" w:themeShade="A6"/>
              <w:right w:val="single" w:sz="8" w:space="0" w:color="48702E" w:themeColor="accent6" w:themeShade="A6"/>
            </w:tcBorders>
            <w:shd w:val="clear" w:color="auto" w:fill="auto"/>
            <w:noWrap/>
            <w:vAlign w:val="center"/>
          </w:tcPr>
          <w:p w14:paraId="1011EB6C" w14:textId="26A498B4" w:rsidR="005872C9" w:rsidRPr="003008B2" w:rsidRDefault="009A1D78"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Phys</w:t>
            </w:r>
            <w:r>
              <w:rPr>
                <w:rFonts w:eastAsia="Times New Roman" w:cs="Arial"/>
                <w:color w:val="000000"/>
                <w:sz w:val="20"/>
                <w:szCs w:val="20"/>
              </w:rPr>
              <w:t>ical-Chemical</w:t>
            </w:r>
          </w:p>
        </w:tc>
        <w:tc>
          <w:tcPr>
            <w:tcW w:w="1260" w:type="dxa"/>
            <w:tcBorders>
              <w:top w:val="nil"/>
              <w:left w:val="nil"/>
              <w:bottom w:val="single" w:sz="8" w:space="0" w:color="48702E" w:themeColor="accent6" w:themeShade="A6"/>
              <w:right w:val="single" w:sz="8" w:space="0" w:color="48702E" w:themeColor="accent6" w:themeShade="A6"/>
            </w:tcBorders>
            <w:shd w:val="clear" w:color="auto" w:fill="auto"/>
            <w:noWrap/>
            <w:vAlign w:val="center"/>
          </w:tcPr>
          <w:p w14:paraId="1A813E6A" w14:textId="0F703138" w:rsidR="005872C9" w:rsidRPr="003008B2" w:rsidRDefault="00820A0E" w:rsidP="00AC5489">
            <w:pPr>
              <w:spacing w:after="0" w:line="240" w:lineRule="auto"/>
              <w:jc w:val="left"/>
              <w:rPr>
                <w:rFonts w:eastAsia="Times New Roman" w:cs="Arial"/>
                <w:color w:val="000000"/>
                <w:sz w:val="20"/>
                <w:szCs w:val="20"/>
              </w:rPr>
            </w:pPr>
            <w:r>
              <w:rPr>
                <w:rFonts w:eastAsia="Times New Roman" w:cs="Arial"/>
                <w:color w:val="000000"/>
                <w:sz w:val="20"/>
                <w:szCs w:val="20"/>
              </w:rPr>
              <w:t>Remote Mechanical Drag Chain</w:t>
            </w:r>
          </w:p>
        </w:tc>
        <w:tc>
          <w:tcPr>
            <w:tcW w:w="1350" w:type="dxa"/>
            <w:tcBorders>
              <w:top w:val="nil"/>
              <w:left w:val="nil"/>
              <w:bottom w:val="single" w:sz="8" w:space="0" w:color="48702E" w:themeColor="accent6" w:themeShade="A6"/>
              <w:right w:val="single" w:sz="8" w:space="0" w:color="48702E" w:themeColor="accent6" w:themeShade="A6"/>
            </w:tcBorders>
            <w:shd w:val="clear" w:color="auto" w:fill="auto"/>
            <w:noWrap/>
            <w:vAlign w:val="center"/>
          </w:tcPr>
          <w:p w14:paraId="6B443A7A"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Dry Handling</w:t>
            </w:r>
          </w:p>
        </w:tc>
        <w:tc>
          <w:tcPr>
            <w:tcW w:w="1530" w:type="dxa"/>
            <w:tcBorders>
              <w:top w:val="nil"/>
              <w:left w:val="nil"/>
              <w:bottom w:val="single" w:sz="8" w:space="0" w:color="48702E" w:themeColor="accent6" w:themeShade="A6"/>
              <w:right w:val="single" w:sz="8" w:space="0" w:color="48702E" w:themeColor="accent6" w:themeShade="A6"/>
            </w:tcBorders>
            <w:shd w:val="clear" w:color="auto" w:fill="auto"/>
            <w:noWrap/>
            <w:vAlign w:val="center"/>
          </w:tcPr>
          <w:p w14:paraId="33844F96" w14:textId="028C5296" w:rsidR="005872C9" w:rsidRPr="003008B2" w:rsidRDefault="00FB3725"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Phys</w:t>
            </w:r>
            <w:r>
              <w:rPr>
                <w:rFonts w:eastAsia="Times New Roman" w:cs="Arial"/>
                <w:color w:val="000000"/>
                <w:sz w:val="20"/>
                <w:szCs w:val="20"/>
              </w:rPr>
              <w:t>-Chem-Bio</w:t>
            </w:r>
          </w:p>
        </w:tc>
      </w:tr>
      <w:tr w:rsidR="005872C9" w:rsidRPr="003008B2" w14:paraId="2EC2607F" w14:textId="77777777" w:rsidTr="005C0609">
        <w:trPr>
          <w:trHeight w:val="510"/>
          <w:jc w:val="center"/>
        </w:trPr>
        <w:tc>
          <w:tcPr>
            <w:tcW w:w="1606" w:type="dxa"/>
            <w:tcBorders>
              <w:top w:val="nil"/>
              <w:left w:val="single" w:sz="8" w:space="0" w:color="48702E" w:themeColor="accent6" w:themeShade="A6"/>
              <w:bottom w:val="single" w:sz="8" w:space="0" w:color="48702E" w:themeColor="accent6" w:themeShade="A6"/>
              <w:right w:val="single" w:sz="8" w:space="0" w:color="48702E" w:themeColor="accent6" w:themeShade="A6"/>
            </w:tcBorders>
            <w:shd w:val="clear" w:color="auto" w:fill="auto"/>
            <w:noWrap/>
            <w:vAlign w:val="center"/>
            <w:hideMark/>
          </w:tcPr>
          <w:p w14:paraId="436909EB" w14:textId="5B33F458"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 xml:space="preserve">Gaston 1 </w:t>
            </w:r>
            <w:r>
              <w:rPr>
                <w:rFonts w:eastAsia="Times New Roman" w:cs="Arial"/>
                <w:color w:val="000000"/>
                <w:sz w:val="20"/>
                <w:szCs w:val="20"/>
              </w:rPr>
              <w:t>–</w:t>
            </w:r>
            <w:r w:rsidRPr="003008B2">
              <w:rPr>
                <w:rFonts w:eastAsia="Times New Roman" w:cs="Arial"/>
                <w:color w:val="000000"/>
                <w:sz w:val="20"/>
                <w:szCs w:val="20"/>
              </w:rPr>
              <w:t xml:space="preserve"> 4</w:t>
            </w:r>
            <w:r w:rsidR="00335C12">
              <w:rPr>
                <w:rFonts w:eastAsia="Times New Roman" w:cs="Arial"/>
                <w:color w:val="000000"/>
                <w:sz w:val="20"/>
                <w:szCs w:val="20"/>
                <w:vertAlign w:val="superscript"/>
              </w:rPr>
              <w:t>1,2</w:t>
            </w:r>
          </w:p>
        </w:tc>
        <w:tc>
          <w:tcPr>
            <w:tcW w:w="1626"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2FAE5C81"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Once-Through</w:t>
            </w:r>
          </w:p>
        </w:tc>
        <w:tc>
          <w:tcPr>
            <w:tcW w:w="1255" w:type="dxa"/>
            <w:tcBorders>
              <w:top w:val="nil"/>
              <w:left w:val="nil"/>
              <w:bottom w:val="single" w:sz="8" w:space="0" w:color="AEAAAA" w:themeColor="background2" w:themeShade="BF"/>
              <w:right w:val="single" w:sz="8" w:space="0" w:color="AEAAAA" w:themeColor="background2" w:themeShade="BF"/>
            </w:tcBorders>
            <w:shd w:val="clear" w:color="auto" w:fill="auto"/>
            <w:vAlign w:val="center"/>
            <w:hideMark/>
          </w:tcPr>
          <w:p w14:paraId="4F1F9C6D"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themeColor="text1"/>
                <w:sz w:val="20"/>
                <w:szCs w:val="20"/>
              </w:rPr>
              <w:t>Intake Screens</w:t>
            </w:r>
          </w:p>
        </w:tc>
        <w:tc>
          <w:tcPr>
            <w:tcW w:w="1263"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0AC0DA17" w14:textId="092A736B" w:rsidR="005872C9" w:rsidRPr="003008B2" w:rsidRDefault="009A1D78"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Phys</w:t>
            </w:r>
            <w:r>
              <w:rPr>
                <w:rFonts w:eastAsia="Times New Roman" w:cs="Arial"/>
                <w:color w:val="000000"/>
                <w:sz w:val="20"/>
                <w:szCs w:val="20"/>
              </w:rPr>
              <w:t>ical-Chemical</w:t>
            </w:r>
            <w:r w:rsidR="005872C9" w:rsidRPr="003008B2">
              <w:rPr>
                <w:rFonts w:eastAsia="Times New Roman" w:cs="Arial"/>
                <w:color w:val="000000" w:themeColor="text1"/>
                <w:sz w:val="20"/>
                <w:szCs w:val="20"/>
              </w:rPr>
              <w:t>/</w:t>
            </w:r>
            <w:r w:rsidR="005C0609">
              <w:rPr>
                <w:rFonts w:eastAsia="Times New Roman" w:cs="Arial"/>
                <w:color w:val="000000" w:themeColor="text1"/>
                <w:sz w:val="20"/>
                <w:szCs w:val="20"/>
              </w:rPr>
              <w:t xml:space="preserve"> </w:t>
            </w:r>
            <w:r w:rsidR="005872C9" w:rsidRPr="003008B2">
              <w:rPr>
                <w:rFonts w:eastAsia="Times New Roman" w:cs="Arial"/>
                <w:color w:val="000000" w:themeColor="text1"/>
                <w:sz w:val="20"/>
                <w:szCs w:val="20"/>
              </w:rPr>
              <w:t>Pond</w:t>
            </w:r>
          </w:p>
        </w:tc>
        <w:tc>
          <w:tcPr>
            <w:tcW w:w="126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237B6BB0" w14:textId="074B6959" w:rsidR="005872C9" w:rsidRPr="003008B2" w:rsidRDefault="008B4396" w:rsidP="00AC5489">
            <w:pPr>
              <w:spacing w:after="0" w:line="240" w:lineRule="auto"/>
              <w:jc w:val="left"/>
              <w:rPr>
                <w:rFonts w:eastAsia="Times New Roman" w:cs="Arial"/>
                <w:color w:val="000000"/>
                <w:sz w:val="20"/>
                <w:szCs w:val="20"/>
              </w:rPr>
            </w:pPr>
            <w:r>
              <w:rPr>
                <w:rFonts w:eastAsia="Times New Roman" w:cs="Arial"/>
                <w:color w:val="000000" w:themeColor="text1"/>
                <w:sz w:val="20"/>
                <w:szCs w:val="20"/>
              </w:rPr>
              <w:t>N/A</w:t>
            </w:r>
            <w:r w:rsidR="005872C9" w:rsidRPr="37612734">
              <w:rPr>
                <w:rFonts w:eastAsia="Times New Roman" w:cs="Arial"/>
                <w:color w:val="000000" w:themeColor="text1"/>
                <w:sz w:val="20"/>
                <w:szCs w:val="20"/>
              </w:rPr>
              <w:t xml:space="preserve"> </w:t>
            </w:r>
          </w:p>
        </w:tc>
        <w:tc>
          <w:tcPr>
            <w:tcW w:w="135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50DF15C7"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themeColor="text1"/>
                <w:sz w:val="20"/>
                <w:szCs w:val="20"/>
              </w:rPr>
              <w:t>Dry Handling</w:t>
            </w:r>
          </w:p>
        </w:tc>
        <w:tc>
          <w:tcPr>
            <w:tcW w:w="153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19536124"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themeColor="text1"/>
                <w:sz w:val="20"/>
                <w:szCs w:val="20"/>
              </w:rPr>
              <w:t>N/A</w:t>
            </w:r>
          </w:p>
        </w:tc>
      </w:tr>
      <w:tr w:rsidR="005872C9" w:rsidRPr="003008B2" w14:paraId="6C31B431" w14:textId="77777777" w:rsidTr="005C0609">
        <w:trPr>
          <w:trHeight w:val="510"/>
          <w:jc w:val="center"/>
        </w:trPr>
        <w:tc>
          <w:tcPr>
            <w:tcW w:w="1606" w:type="dxa"/>
            <w:tcBorders>
              <w:top w:val="nil"/>
              <w:left w:val="single" w:sz="8" w:space="0" w:color="48702E" w:themeColor="accent6" w:themeShade="A6"/>
              <w:bottom w:val="single" w:sz="8" w:space="0" w:color="48702E" w:themeColor="accent6" w:themeShade="A6"/>
              <w:right w:val="single" w:sz="8" w:space="0" w:color="48702E" w:themeColor="accent6" w:themeShade="A6"/>
            </w:tcBorders>
            <w:shd w:val="clear" w:color="auto" w:fill="auto"/>
            <w:noWrap/>
            <w:vAlign w:val="center"/>
            <w:hideMark/>
          </w:tcPr>
          <w:p w14:paraId="71FCA760" w14:textId="084D5742"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 xml:space="preserve">McDonough 4 </w:t>
            </w:r>
            <w:r w:rsidR="006F4C18">
              <w:rPr>
                <w:rFonts w:eastAsia="Times New Roman" w:cs="Arial"/>
                <w:color w:val="000000"/>
                <w:sz w:val="20"/>
                <w:szCs w:val="20"/>
              </w:rPr>
              <w:t>–</w:t>
            </w:r>
            <w:r w:rsidRPr="003008B2">
              <w:rPr>
                <w:rFonts w:eastAsia="Times New Roman" w:cs="Arial"/>
                <w:color w:val="000000"/>
                <w:sz w:val="20"/>
                <w:szCs w:val="20"/>
              </w:rPr>
              <w:t xml:space="preserve"> 6</w:t>
            </w:r>
          </w:p>
        </w:tc>
        <w:tc>
          <w:tcPr>
            <w:tcW w:w="1626"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04ADF368"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Closed-Cycle</w:t>
            </w:r>
          </w:p>
        </w:tc>
        <w:tc>
          <w:tcPr>
            <w:tcW w:w="1255" w:type="dxa"/>
            <w:tcBorders>
              <w:top w:val="nil"/>
              <w:left w:val="nil"/>
              <w:bottom w:val="single" w:sz="8" w:space="0" w:color="AEAAAA" w:themeColor="background2" w:themeShade="BF"/>
              <w:right w:val="single" w:sz="8" w:space="0" w:color="AEAAAA" w:themeColor="background2" w:themeShade="BF"/>
            </w:tcBorders>
            <w:shd w:val="clear" w:color="auto" w:fill="auto"/>
            <w:vAlign w:val="center"/>
            <w:hideMark/>
          </w:tcPr>
          <w:p w14:paraId="205F950E"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Flow Monitoring</w:t>
            </w:r>
          </w:p>
        </w:tc>
        <w:tc>
          <w:tcPr>
            <w:tcW w:w="1263"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0DE5FD60"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N/A</w:t>
            </w:r>
          </w:p>
        </w:tc>
        <w:tc>
          <w:tcPr>
            <w:tcW w:w="126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4B3603B2"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N/A</w:t>
            </w:r>
          </w:p>
        </w:tc>
        <w:tc>
          <w:tcPr>
            <w:tcW w:w="135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7238A9DD"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N/A</w:t>
            </w:r>
          </w:p>
        </w:tc>
        <w:tc>
          <w:tcPr>
            <w:tcW w:w="153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02D97A33"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N/A</w:t>
            </w:r>
          </w:p>
        </w:tc>
      </w:tr>
      <w:tr w:rsidR="005872C9" w:rsidRPr="003008B2" w14:paraId="7CEE9EE9" w14:textId="77777777" w:rsidTr="005C0609">
        <w:trPr>
          <w:trHeight w:val="510"/>
          <w:jc w:val="center"/>
        </w:trPr>
        <w:tc>
          <w:tcPr>
            <w:tcW w:w="1606" w:type="dxa"/>
            <w:tcBorders>
              <w:top w:val="nil"/>
              <w:left w:val="single" w:sz="8" w:space="0" w:color="48702E" w:themeColor="accent6" w:themeShade="A6"/>
              <w:bottom w:val="single" w:sz="8" w:space="0" w:color="AEAAAA" w:themeColor="background2" w:themeShade="BF"/>
              <w:right w:val="single" w:sz="8" w:space="0" w:color="48702E" w:themeColor="accent6" w:themeShade="A6"/>
            </w:tcBorders>
            <w:shd w:val="clear" w:color="auto" w:fill="auto"/>
            <w:noWrap/>
            <w:vAlign w:val="center"/>
            <w:hideMark/>
          </w:tcPr>
          <w:p w14:paraId="49DAA873" w14:textId="4C7BCF71"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 xml:space="preserve">McIntosh 10 </w:t>
            </w:r>
            <w:r w:rsidR="00621F79">
              <w:rPr>
                <w:rFonts w:eastAsia="Times New Roman" w:cs="Arial"/>
                <w:color w:val="000000"/>
                <w:sz w:val="20"/>
                <w:szCs w:val="20"/>
              </w:rPr>
              <w:t>&amp;</w:t>
            </w:r>
            <w:r w:rsidRPr="003008B2">
              <w:rPr>
                <w:rFonts w:eastAsia="Times New Roman" w:cs="Arial"/>
                <w:color w:val="000000"/>
                <w:sz w:val="20"/>
                <w:szCs w:val="20"/>
              </w:rPr>
              <w:t xml:space="preserve"> 11</w:t>
            </w:r>
          </w:p>
        </w:tc>
        <w:tc>
          <w:tcPr>
            <w:tcW w:w="1626"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647D1CDD"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Closed-Cycle</w:t>
            </w:r>
          </w:p>
        </w:tc>
        <w:tc>
          <w:tcPr>
            <w:tcW w:w="1255" w:type="dxa"/>
            <w:tcBorders>
              <w:top w:val="nil"/>
              <w:left w:val="nil"/>
              <w:bottom w:val="single" w:sz="8" w:space="0" w:color="AEAAAA" w:themeColor="background2" w:themeShade="BF"/>
              <w:right w:val="single" w:sz="8" w:space="0" w:color="AEAAAA" w:themeColor="background2" w:themeShade="BF"/>
            </w:tcBorders>
            <w:shd w:val="clear" w:color="auto" w:fill="auto"/>
            <w:vAlign w:val="center"/>
            <w:hideMark/>
          </w:tcPr>
          <w:p w14:paraId="2EC9495D" w14:textId="3A543DF5" w:rsidR="005872C9" w:rsidRPr="003008B2" w:rsidRDefault="00BF12ED" w:rsidP="00AC5489">
            <w:pPr>
              <w:spacing w:after="0" w:line="240" w:lineRule="auto"/>
              <w:jc w:val="left"/>
              <w:rPr>
                <w:rFonts w:eastAsia="Times New Roman" w:cs="Arial"/>
                <w:color w:val="000000"/>
                <w:sz w:val="20"/>
                <w:szCs w:val="20"/>
              </w:rPr>
            </w:pPr>
            <w:r>
              <w:rPr>
                <w:rFonts w:eastAsia="Times New Roman" w:cs="Arial"/>
                <w:color w:val="000000"/>
                <w:sz w:val="20"/>
                <w:szCs w:val="20"/>
              </w:rPr>
              <w:t>Flow Monitoring</w:t>
            </w:r>
          </w:p>
        </w:tc>
        <w:tc>
          <w:tcPr>
            <w:tcW w:w="1263"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7B105105"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Pond</w:t>
            </w:r>
          </w:p>
        </w:tc>
        <w:tc>
          <w:tcPr>
            <w:tcW w:w="126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3C011DA9"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N/A</w:t>
            </w:r>
          </w:p>
        </w:tc>
        <w:tc>
          <w:tcPr>
            <w:tcW w:w="135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11DBA527"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N/A</w:t>
            </w:r>
          </w:p>
        </w:tc>
        <w:tc>
          <w:tcPr>
            <w:tcW w:w="153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325B8AF5"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N/A</w:t>
            </w:r>
          </w:p>
        </w:tc>
      </w:tr>
      <w:tr w:rsidR="005872C9" w:rsidRPr="003008B2" w14:paraId="6BA397FD" w14:textId="77777777" w:rsidTr="005C0609">
        <w:trPr>
          <w:trHeight w:val="510"/>
          <w:jc w:val="center"/>
        </w:trPr>
        <w:tc>
          <w:tcPr>
            <w:tcW w:w="1606" w:type="dxa"/>
            <w:tcBorders>
              <w:top w:val="nil"/>
              <w:left w:val="single" w:sz="8" w:space="0" w:color="AEAAAA" w:themeColor="background2" w:themeShade="BF"/>
              <w:bottom w:val="single" w:sz="8" w:space="0" w:color="AEAAAA" w:themeColor="background2" w:themeShade="BF"/>
              <w:right w:val="single" w:sz="8" w:space="0" w:color="AEAAAA" w:themeColor="background2" w:themeShade="BF"/>
            </w:tcBorders>
            <w:shd w:val="clear" w:color="auto" w:fill="auto"/>
            <w:noWrap/>
            <w:vAlign w:val="center"/>
            <w:hideMark/>
          </w:tcPr>
          <w:p w14:paraId="69533C8A"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 xml:space="preserve">Scherer 1 </w:t>
            </w:r>
            <w:r>
              <w:rPr>
                <w:rFonts w:eastAsia="Times New Roman" w:cs="Arial"/>
                <w:color w:val="000000"/>
                <w:sz w:val="20"/>
                <w:szCs w:val="20"/>
              </w:rPr>
              <w:t>&amp; 2</w:t>
            </w:r>
          </w:p>
        </w:tc>
        <w:tc>
          <w:tcPr>
            <w:tcW w:w="1626"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3946698D"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Closed-Cycle</w:t>
            </w:r>
          </w:p>
        </w:tc>
        <w:tc>
          <w:tcPr>
            <w:tcW w:w="1255" w:type="dxa"/>
            <w:tcBorders>
              <w:top w:val="nil"/>
              <w:left w:val="nil"/>
              <w:bottom w:val="single" w:sz="8" w:space="0" w:color="AEAAAA" w:themeColor="background2" w:themeShade="BF"/>
              <w:right w:val="single" w:sz="8" w:space="0" w:color="AEAAAA" w:themeColor="background2" w:themeShade="BF"/>
            </w:tcBorders>
            <w:shd w:val="clear" w:color="auto" w:fill="auto"/>
            <w:vAlign w:val="center"/>
            <w:hideMark/>
          </w:tcPr>
          <w:p w14:paraId="5D4C23E2"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Flow Monitoring</w:t>
            </w:r>
          </w:p>
        </w:tc>
        <w:tc>
          <w:tcPr>
            <w:tcW w:w="1263"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4D0970E3" w14:textId="0FC13AF6" w:rsidR="005872C9" w:rsidRPr="003008B2" w:rsidRDefault="00FB3725"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Phys</w:t>
            </w:r>
            <w:r>
              <w:rPr>
                <w:rFonts w:eastAsia="Times New Roman" w:cs="Arial"/>
                <w:color w:val="000000"/>
                <w:sz w:val="20"/>
                <w:szCs w:val="20"/>
              </w:rPr>
              <w:t>ical-Chemical</w:t>
            </w:r>
          </w:p>
        </w:tc>
        <w:tc>
          <w:tcPr>
            <w:tcW w:w="126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7E3CA1DB" w14:textId="5F5C9431"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M</w:t>
            </w:r>
            <w:r w:rsidR="00C35B95">
              <w:rPr>
                <w:rFonts w:eastAsia="Times New Roman" w:cs="Arial"/>
                <w:color w:val="000000"/>
                <w:sz w:val="20"/>
                <w:szCs w:val="20"/>
              </w:rPr>
              <w:t>agaldi Ash Co</w:t>
            </w:r>
            <w:r w:rsidR="00CC7DFB">
              <w:rPr>
                <w:rFonts w:eastAsia="Times New Roman" w:cs="Arial"/>
                <w:color w:val="000000"/>
                <w:sz w:val="20"/>
                <w:szCs w:val="20"/>
              </w:rPr>
              <w:t>oler</w:t>
            </w:r>
          </w:p>
        </w:tc>
        <w:tc>
          <w:tcPr>
            <w:tcW w:w="135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771A5640"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Dry Handling</w:t>
            </w:r>
          </w:p>
        </w:tc>
        <w:tc>
          <w:tcPr>
            <w:tcW w:w="153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hideMark/>
          </w:tcPr>
          <w:p w14:paraId="486BD3A7" w14:textId="46E81EC0" w:rsidR="005872C9" w:rsidRPr="003008B2" w:rsidRDefault="00FB3725" w:rsidP="00AC5489">
            <w:pPr>
              <w:spacing w:after="0" w:line="240" w:lineRule="auto"/>
              <w:jc w:val="left"/>
              <w:rPr>
                <w:rFonts w:eastAsia="Times New Roman" w:cs="Arial"/>
                <w:color w:val="000000"/>
                <w:sz w:val="20"/>
                <w:szCs w:val="20"/>
              </w:rPr>
            </w:pPr>
            <w:r>
              <w:rPr>
                <w:rFonts w:eastAsia="Times New Roman" w:cs="Arial"/>
                <w:color w:val="000000"/>
                <w:sz w:val="20"/>
                <w:szCs w:val="20"/>
              </w:rPr>
              <w:t>Membranes</w:t>
            </w:r>
          </w:p>
        </w:tc>
      </w:tr>
      <w:tr w:rsidR="005872C9" w:rsidRPr="003008B2" w14:paraId="2970C34A" w14:textId="77777777" w:rsidTr="005C0609">
        <w:trPr>
          <w:trHeight w:val="510"/>
          <w:jc w:val="center"/>
        </w:trPr>
        <w:tc>
          <w:tcPr>
            <w:tcW w:w="1606" w:type="dxa"/>
            <w:tcBorders>
              <w:top w:val="nil"/>
              <w:left w:val="single" w:sz="8" w:space="0" w:color="AEAAAA" w:themeColor="background2" w:themeShade="BF"/>
              <w:bottom w:val="single" w:sz="8" w:space="0" w:color="AEAAAA" w:themeColor="background2" w:themeShade="BF"/>
              <w:right w:val="single" w:sz="8" w:space="0" w:color="AEAAAA" w:themeColor="background2" w:themeShade="BF"/>
            </w:tcBorders>
            <w:shd w:val="clear" w:color="auto" w:fill="auto"/>
            <w:noWrap/>
            <w:vAlign w:val="center"/>
          </w:tcPr>
          <w:p w14:paraId="7E0ABB71" w14:textId="5E376EA9" w:rsidR="005872C9" w:rsidRPr="003C6F23" w:rsidRDefault="005872C9" w:rsidP="00AC5489">
            <w:pPr>
              <w:spacing w:after="0" w:line="240" w:lineRule="auto"/>
              <w:jc w:val="left"/>
              <w:rPr>
                <w:rFonts w:eastAsia="Times New Roman" w:cs="Arial"/>
                <w:color w:val="000000"/>
                <w:sz w:val="20"/>
                <w:szCs w:val="20"/>
                <w:vertAlign w:val="superscript"/>
              </w:rPr>
            </w:pPr>
            <w:r>
              <w:rPr>
                <w:rFonts w:eastAsia="Times New Roman" w:cs="Arial"/>
                <w:color w:val="000000"/>
                <w:sz w:val="20"/>
                <w:szCs w:val="20"/>
              </w:rPr>
              <w:t>Scherer 3</w:t>
            </w:r>
            <w:r w:rsidR="003C6F23">
              <w:rPr>
                <w:rFonts w:eastAsia="Times New Roman" w:cs="Arial"/>
                <w:color w:val="000000"/>
                <w:sz w:val="20"/>
                <w:szCs w:val="20"/>
                <w:vertAlign w:val="superscript"/>
              </w:rPr>
              <w:t>1</w:t>
            </w:r>
          </w:p>
        </w:tc>
        <w:tc>
          <w:tcPr>
            <w:tcW w:w="1626"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7CC5EC09"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Closed-Cycle</w:t>
            </w:r>
          </w:p>
        </w:tc>
        <w:tc>
          <w:tcPr>
            <w:tcW w:w="1255" w:type="dxa"/>
            <w:tcBorders>
              <w:top w:val="nil"/>
              <w:left w:val="nil"/>
              <w:bottom w:val="single" w:sz="8" w:space="0" w:color="AEAAAA" w:themeColor="background2" w:themeShade="BF"/>
              <w:right w:val="single" w:sz="8" w:space="0" w:color="AEAAAA" w:themeColor="background2" w:themeShade="BF"/>
            </w:tcBorders>
            <w:shd w:val="clear" w:color="auto" w:fill="auto"/>
            <w:vAlign w:val="center"/>
          </w:tcPr>
          <w:p w14:paraId="4FFD1D90"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Flow Monitoring</w:t>
            </w:r>
          </w:p>
        </w:tc>
        <w:tc>
          <w:tcPr>
            <w:tcW w:w="1263"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3C6406BD" w14:textId="44275392" w:rsidR="005872C9" w:rsidRPr="003008B2" w:rsidRDefault="00FB3725"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Phys</w:t>
            </w:r>
            <w:r>
              <w:rPr>
                <w:rFonts w:eastAsia="Times New Roman" w:cs="Arial"/>
                <w:color w:val="000000"/>
                <w:sz w:val="20"/>
                <w:szCs w:val="20"/>
              </w:rPr>
              <w:t>ical-Chemical</w:t>
            </w:r>
          </w:p>
        </w:tc>
        <w:tc>
          <w:tcPr>
            <w:tcW w:w="126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646349F0" w14:textId="63497295"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M</w:t>
            </w:r>
            <w:r w:rsidR="00C35B95">
              <w:rPr>
                <w:rFonts w:eastAsia="Times New Roman" w:cs="Arial"/>
                <w:color w:val="000000"/>
                <w:sz w:val="20"/>
                <w:szCs w:val="20"/>
              </w:rPr>
              <w:t>agaldi Ash C</w:t>
            </w:r>
            <w:r w:rsidR="00CC7DFB">
              <w:rPr>
                <w:rFonts w:eastAsia="Times New Roman" w:cs="Arial"/>
                <w:color w:val="000000"/>
                <w:sz w:val="20"/>
                <w:szCs w:val="20"/>
              </w:rPr>
              <w:t>ooler</w:t>
            </w:r>
          </w:p>
        </w:tc>
        <w:tc>
          <w:tcPr>
            <w:tcW w:w="135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50186EC1" w14:textId="77777777" w:rsidR="005872C9" w:rsidRPr="003008B2" w:rsidRDefault="005872C9" w:rsidP="00AC5489">
            <w:pPr>
              <w:spacing w:after="0" w:line="240" w:lineRule="auto"/>
              <w:jc w:val="left"/>
              <w:rPr>
                <w:rFonts w:eastAsia="Times New Roman" w:cs="Arial"/>
                <w:color w:val="000000"/>
                <w:sz w:val="20"/>
                <w:szCs w:val="20"/>
              </w:rPr>
            </w:pPr>
            <w:r w:rsidRPr="003008B2">
              <w:rPr>
                <w:rFonts w:eastAsia="Times New Roman" w:cs="Arial"/>
                <w:color w:val="000000"/>
                <w:sz w:val="20"/>
                <w:szCs w:val="20"/>
              </w:rPr>
              <w:t>Dry Handling</w:t>
            </w:r>
          </w:p>
        </w:tc>
        <w:tc>
          <w:tcPr>
            <w:tcW w:w="153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545DB189" w14:textId="477497D7" w:rsidR="005872C9" w:rsidRPr="003008B2" w:rsidRDefault="003B268F" w:rsidP="00AC5489">
            <w:pPr>
              <w:spacing w:after="0" w:line="240" w:lineRule="auto"/>
              <w:jc w:val="left"/>
              <w:rPr>
                <w:rFonts w:eastAsia="Times New Roman" w:cs="Arial"/>
                <w:color w:val="000000" w:themeColor="text1"/>
                <w:sz w:val="20"/>
                <w:szCs w:val="20"/>
              </w:rPr>
            </w:pPr>
            <w:r>
              <w:rPr>
                <w:rFonts w:eastAsia="Times New Roman" w:cs="Arial"/>
                <w:color w:val="000000" w:themeColor="text1"/>
                <w:sz w:val="20"/>
                <w:szCs w:val="20"/>
              </w:rPr>
              <w:t>Retirement by 12/31/2028</w:t>
            </w:r>
            <w:r w:rsidR="005872C9" w:rsidRPr="003008B2">
              <w:rPr>
                <w:rFonts w:eastAsia="Times New Roman" w:cs="Arial"/>
                <w:color w:val="000000"/>
                <w:sz w:val="20"/>
                <w:szCs w:val="20"/>
              </w:rPr>
              <w:t xml:space="preserve"> </w:t>
            </w:r>
            <w:r w:rsidR="00B23EF3">
              <w:rPr>
                <w:rFonts w:eastAsia="Times New Roman" w:cs="Arial"/>
                <w:color w:val="000000"/>
                <w:sz w:val="20"/>
                <w:szCs w:val="20"/>
              </w:rPr>
              <w:t>or Membranes</w:t>
            </w:r>
          </w:p>
        </w:tc>
      </w:tr>
      <w:tr w:rsidR="009D761A" w:rsidRPr="003008B2" w14:paraId="1AF2FC8C" w14:textId="77777777" w:rsidTr="005C0609">
        <w:trPr>
          <w:trHeight w:val="510"/>
          <w:jc w:val="center"/>
        </w:trPr>
        <w:tc>
          <w:tcPr>
            <w:tcW w:w="1606" w:type="dxa"/>
            <w:tcBorders>
              <w:top w:val="nil"/>
              <w:left w:val="single" w:sz="8" w:space="0" w:color="AEAAAA" w:themeColor="background2" w:themeShade="BF"/>
              <w:bottom w:val="single" w:sz="8" w:space="0" w:color="AEAAAA" w:themeColor="background2" w:themeShade="BF"/>
              <w:right w:val="single" w:sz="8" w:space="0" w:color="AEAAAA" w:themeColor="background2" w:themeShade="BF"/>
            </w:tcBorders>
            <w:shd w:val="clear" w:color="auto" w:fill="auto"/>
            <w:noWrap/>
            <w:vAlign w:val="center"/>
          </w:tcPr>
          <w:p w14:paraId="7B9A5F34" w14:textId="7F63A629" w:rsidR="009D761A" w:rsidRDefault="00B11550" w:rsidP="00AC5489">
            <w:pPr>
              <w:spacing w:after="0" w:line="240" w:lineRule="auto"/>
              <w:jc w:val="left"/>
              <w:rPr>
                <w:rFonts w:eastAsia="Times New Roman" w:cs="Arial"/>
                <w:color w:val="000000"/>
                <w:sz w:val="20"/>
                <w:szCs w:val="20"/>
              </w:rPr>
            </w:pPr>
            <w:r>
              <w:rPr>
                <w:rFonts w:eastAsia="Times New Roman" w:cs="Arial"/>
                <w:color w:val="000000"/>
                <w:sz w:val="20"/>
                <w:szCs w:val="20"/>
              </w:rPr>
              <w:t>Yates 6</w:t>
            </w:r>
            <w:r w:rsidR="008F15F2">
              <w:rPr>
                <w:rFonts w:eastAsia="Times New Roman" w:cs="Arial"/>
                <w:color w:val="000000"/>
                <w:sz w:val="20"/>
                <w:szCs w:val="20"/>
              </w:rPr>
              <w:t xml:space="preserve"> &amp; 7</w:t>
            </w:r>
          </w:p>
        </w:tc>
        <w:tc>
          <w:tcPr>
            <w:tcW w:w="1626"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6C434493" w14:textId="5D14826C" w:rsidR="009D761A" w:rsidRPr="003008B2" w:rsidRDefault="008F15F2" w:rsidP="00AC5489">
            <w:pPr>
              <w:spacing w:after="0" w:line="240" w:lineRule="auto"/>
              <w:jc w:val="left"/>
              <w:rPr>
                <w:rFonts w:eastAsia="Times New Roman" w:cs="Arial"/>
                <w:color w:val="000000"/>
                <w:sz w:val="20"/>
                <w:szCs w:val="20"/>
              </w:rPr>
            </w:pPr>
            <w:r>
              <w:rPr>
                <w:rFonts w:eastAsia="Times New Roman" w:cs="Arial"/>
                <w:color w:val="000000"/>
                <w:sz w:val="20"/>
                <w:szCs w:val="20"/>
              </w:rPr>
              <w:t>Closed</w:t>
            </w:r>
            <w:r w:rsidR="000F4EF4">
              <w:rPr>
                <w:rFonts w:eastAsia="Times New Roman" w:cs="Arial"/>
                <w:color w:val="000000"/>
                <w:sz w:val="20"/>
                <w:szCs w:val="20"/>
              </w:rPr>
              <w:t>-Cycle</w:t>
            </w:r>
          </w:p>
        </w:tc>
        <w:tc>
          <w:tcPr>
            <w:tcW w:w="1255" w:type="dxa"/>
            <w:tcBorders>
              <w:top w:val="nil"/>
              <w:left w:val="nil"/>
              <w:bottom w:val="single" w:sz="8" w:space="0" w:color="AEAAAA" w:themeColor="background2" w:themeShade="BF"/>
              <w:right w:val="single" w:sz="8" w:space="0" w:color="AEAAAA" w:themeColor="background2" w:themeShade="BF"/>
            </w:tcBorders>
            <w:shd w:val="clear" w:color="auto" w:fill="auto"/>
            <w:vAlign w:val="center"/>
          </w:tcPr>
          <w:p w14:paraId="6BAAB0D0" w14:textId="748E0C02" w:rsidR="009D761A" w:rsidRPr="003008B2" w:rsidRDefault="00626CCD" w:rsidP="00AC5489">
            <w:pPr>
              <w:spacing w:after="0" w:line="240" w:lineRule="auto"/>
              <w:jc w:val="left"/>
              <w:rPr>
                <w:rFonts w:eastAsia="Times New Roman" w:cs="Arial"/>
                <w:color w:val="000000"/>
                <w:sz w:val="20"/>
                <w:szCs w:val="20"/>
              </w:rPr>
            </w:pPr>
            <w:r>
              <w:rPr>
                <w:rFonts w:eastAsia="Times New Roman" w:cs="Arial"/>
                <w:color w:val="000000"/>
                <w:sz w:val="20"/>
                <w:szCs w:val="20"/>
              </w:rPr>
              <w:t>Flow Monitoring</w:t>
            </w:r>
          </w:p>
        </w:tc>
        <w:tc>
          <w:tcPr>
            <w:tcW w:w="1263"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0E4E0DAF" w14:textId="65831959" w:rsidR="009D761A" w:rsidRPr="003008B2" w:rsidRDefault="00626CCD" w:rsidP="00AC5489">
            <w:pPr>
              <w:spacing w:after="0" w:line="240" w:lineRule="auto"/>
              <w:jc w:val="left"/>
              <w:rPr>
                <w:rFonts w:eastAsia="Times New Roman" w:cs="Arial"/>
                <w:color w:val="000000"/>
                <w:sz w:val="20"/>
                <w:szCs w:val="20"/>
              </w:rPr>
            </w:pPr>
            <w:r>
              <w:rPr>
                <w:rFonts w:eastAsia="Times New Roman" w:cs="Arial"/>
                <w:color w:val="000000"/>
                <w:sz w:val="20"/>
                <w:szCs w:val="20"/>
              </w:rPr>
              <w:t>Pond</w:t>
            </w:r>
          </w:p>
        </w:tc>
        <w:tc>
          <w:tcPr>
            <w:tcW w:w="126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636F9843" w14:textId="2D15BE38" w:rsidR="009D761A" w:rsidRPr="003008B2" w:rsidRDefault="00626CCD" w:rsidP="00AC5489">
            <w:pPr>
              <w:spacing w:after="0" w:line="240" w:lineRule="auto"/>
              <w:jc w:val="left"/>
              <w:rPr>
                <w:rFonts w:eastAsia="Times New Roman" w:cs="Arial"/>
                <w:color w:val="000000"/>
                <w:sz w:val="20"/>
                <w:szCs w:val="20"/>
              </w:rPr>
            </w:pPr>
            <w:r>
              <w:rPr>
                <w:rFonts w:eastAsia="Times New Roman" w:cs="Arial"/>
                <w:color w:val="000000"/>
                <w:sz w:val="20"/>
                <w:szCs w:val="20"/>
              </w:rPr>
              <w:t>N/A</w:t>
            </w:r>
          </w:p>
        </w:tc>
        <w:tc>
          <w:tcPr>
            <w:tcW w:w="135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4B312A31" w14:textId="100130E3" w:rsidR="009D761A" w:rsidRPr="003008B2" w:rsidRDefault="00626CCD" w:rsidP="00AC5489">
            <w:pPr>
              <w:spacing w:after="0" w:line="240" w:lineRule="auto"/>
              <w:jc w:val="left"/>
              <w:rPr>
                <w:rFonts w:eastAsia="Times New Roman" w:cs="Arial"/>
                <w:color w:val="000000"/>
                <w:sz w:val="20"/>
                <w:szCs w:val="20"/>
              </w:rPr>
            </w:pPr>
            <w:r>
              <w:rPr>
                <w:rFonts w:eastAsia="Times New Roman" w:cs="Arial"/>
                <w:color w:val="000000"/>
                <w:sz w:val="20"/>
                <w:szCs w:val="20"/>
              </w:rPr>
              <w:t>N/A</w:t>
            </w:r>
          </w:p>
        </w:tc>
        <w:tc>
          <w:tcPr>
            <w:tcW w:w="1530" w:type="dxa"/>
            <w:tcBorders>
              <w:top w:val="nil"/>
              <w:left w:val="nil"/>
              <w:bottom w:val="single" w:sz="8" w:space="0" w:color="AEAAAA" w:themeColor="background2" w:themeShade="BF"/>
              <w:right w:val="single" w:sz="8" w:space="0" w:color="AEAAAA" w:themeColor="background2" w:themeShade="BF"/>
            </w:tcBorders>
            <w:shd w:val="clear" w:color="auto" w:fill="auto"/>
            <w:noWrap/>
            <w:vAlign w:val="center"/>
          </w:tcPr>
          <w:p w14:paraId="382C6A33" w14:textId="15F20582" w:rsidR="009D761A" w:rsidRDefault="00626CCD" w:rsidP="00AC5489">
            <w:pPr>
              <w:spacing w:after="0" w:line="240" w:lineRule="auto"/>
              <w:jc w:val="left"/>
              <w:rPr>
                <w:rFonts w:eastAsia="Times New Roman" w:cs="Arial"/>
                <w:color w:val="000000" w:themeColor="text1"/>
                <w:sz w:val="20"/>
                <w:szCs w:val="20"/>
              </w:rPr>
            </w:pPr>
            <w:r>
              <w:rPr>
                <w:rFonts w:eastAsia="Times New Roman" w:cs="Arial"/>
                <w:color w:val="000000" w:themeColor="text1"/>
                <w:sz w:val="20"/>
                <w:szCs w:val="20"/>
              </w:rPr>
              <w:t>N/A</w:t>
            </w:r>
          </w:p>
        </w:tc>
      </w:tr>
      <w:tr w:rsidR="005872C9" w:rsidRPr="003008B2" w14:paraId="46C51A86" w14:textId="77777777" w:rsidTr="0099147B">
        <w:trPr>
          <w:trHeight w:val="214"/>
          <w:jc w:val="center"/>
        </w:trPr>
        <w:tc>
          <w:tcPr>
            <w:tcW w:w="9890" w:type="dxa"/>
            <w:gridSpan w:val="7"/>
            <w:tcBorders>
              <w:top w:val="single" w:sz="4" w:space="0" w:color="BDD6EE" w:themeColor="accent5" w:themeTint="66"/>
              <w:left w:val="single" w:sz="8" w:space="0" w:color="AEAAAA" w:themeColor="background2" w:themeShade="BF"/>
              <w:bottom w:val="single" w:sz="8" w:space="0" w:color="AEAAAA" w:themeColor="background2" w:themeShade="BF"/>
              <w:right w:val="single" w:sz="8" w:space="0" w:color="AEAAAA" w:themeColor="background2" w:themeShade="BF"/>
            </w:tcBorders>
            <w:shd w:val="clear" w:color="auto" w:fill="auto"/>
            <w:noWrap/>
            <w:vAlign w:val="center"/>
          </w:tcPr>
          <w:p w14:paraId="0C603C22" w14:textId="4123B80B" w:rsidR="009C149F" w:rsidRDefault="009C149F" w:rsidP="00AC5489">
            <w:pPr>
              <w:spacing w:after="0" w:line="240" w:lineRule="auto"/>
              <w:rPr>
                <w:rFonts w:cs="Arial"/>
                <w:i/>
                <w:color w:val="000000" w:themeColor="text1"/>
                <w:sz w:val="20"/>
                <w:szCs w:val="20"/>
              </w:rPr>
            </w:pPr>
            <w:r w:rsidRPr="00500684">
              <w:rPr>
                <w:rFonts w:cs="Arial"/>
                <w:i/>
                <w:color w:val="000000" w:themeColor="text1"/>
                <w:sz w:val="20"/>
                <w:szCs w:val="20"/>
                <w:vertAlign w:val="superscript"/>
              </w:rPr>
              <w:t>1</w:t>
            </w:r>
            <w:r>
              <w:rPr>
                <w:rFonts w:cs="Arial"/>
                <w:i/>
                <w:color w:val="000000" w:themeColor="text1"/>
                <w:sz w:val="20"/>
                <w:szCs w:val="20"/>
              </w:rPr>
              <w:t xml:space="preserve"> </w:t>
            </w:r>
            <w:r w:rsidRPr="001C2EAD">
              <w:rPr>
                <w:rFonts w:cs="Arial"/>
                <w:i/>
                <w:color w:val="000000" w:themeColor="text1"/>
                <w:sz w:val="20"/>
                <w:szCs w:val="20"/>
              </w:rPr>
              <w:t xml:space="preserve">Georgia Power expects to make a formal recommendation in the 2025 IRP on the retirement or continued operations for Plant Bowen Units 1 and 2, as well as evaluate extending the operation of Plant Scherer Unit </w:t>
            </w:r>
            <w:r>
              <w:rPr>
                <w:rFonts w:cs="Arial"/>
                <w:i/>
                <w:color w:val="000000" w:themeColor="text1"/>
                <w:sz w:val="20"/>
                <w:szCs w:val="20"/>
              </w:rPr>
              <w:t>3</w:t>
            </w:r>
            <w:r w:rsidRPr="001C2EAD">
              <w:rPr>
                <w:rFonts w:cs="Arial"/>
                <w:i/>
                <w:color w:val="000000" w:themeColor="text1"/>
                <w:sz w:val="20"/>
                <w:szCs w:val="20"/>
              </w:rPr>
              <w:t xml:space="preserve"> and Plant Gaston Units 1 through 4 beyond the retirement dates approved in the 2022 IRP.</w:t>
            </w:r>
            <w:r>
              <w:rPr>
                <w:rFonts w:cs="Arial"/>
                <w:i/>
                <w:color w:val="000000" w:themeColor="text1"/>
                <w:sz w:val="20"/>
                <w:szCs w:val="20"/>
              </w:rPr>
              <w:t xml:space="preserve"> </w:t>
            </w:r>
          </w:p>
          <w:p w14:paraId="7C899FD1" w14:textId="0EAFBFE6" w:rsidR="005872C9" w:rsidRPr="00AE42B3" w:rsidRDefault="009C149F" w:rsidP="00AC5489">
            <w:pPr>
              <w:spacing w:after="0" w:line="240" w:lineRule="auto"/>
              <w:rPr>
                <w:rFonts w:cs="Arial"/>
                <w:i/>
                <w:color w:val="000000" w:themeColor="text1"/>
                <w:sz w:val="20"/>
                <w:szCs w:val="20"/>
              </w:rPr>
            </w:pPr>
            <w:r w:rsidRPr="00500684">
              <w:rPr>
                <w:rFonts w:cs="Arial"/>
                <w:i/>
                <w:color w:val="000000" w:themeColor="text1"/>
                <w:sz w:val="20"/>
                <w:szCs w:val="20"/>
                <w:vertAlign w:val="superscript"/>
              </w:rPr>
              <w:t>2</w:t>
            </w:r>
            <w:r w:rsidR="006F4C18">
              <w:rPr>
                <w:rFonts w:cs="Arial"/>
                <w:i/>
                <w:color w:val="000000" w:themeColor="text1"/>
                <w:sz w:val="20"/>
                <w:szCs w:val="20"/>
              </w:rPr>
              <w:t xml:space="preserve"> Note </w:t>
            </w:r>
            <w:r w:rsidR="00FE3590">
              <w:rPr>
                <w:rFonts w:cs="Arial"/>
                <w:i/>
                <w:color w:val="000000" w:themeColor="text1"/>
                <w:sz w:val="20"/>
                <w:szCs w:val="20"/>
              </w:rPr>
              <w:t xml:space="preserve">that ash handling systems for </w:t>
            </w:r>
            <w:r w:rsidR="006F4C18">
              <w:rPr>
                <w:rFonts w:cs="Arial"/>
                <w:i/>
                <w:color w:val="000000" w:themeColor="text1"/>
                <w:sz w:val="20"/>
                <w:szCs w:val="20"/>
              </w:rPr>
              <w:t xml:space="preserve">Gaston 1-4 </w:t>
            </w:r>
            <w:r w:rsidR="00FE3590">
              <w:rPr>
                <w:rFonts w:cs="Arial"/>
                <w:i/>
                <w:color w:val="000000" w:themeColor="text1"/>
                <w:sz w:val="20"/>
                <w:szCs w:val="20"/>
              </w:rPr>
              <w:t xml:space="preserve">are only required for </w:t>
            </w:r>
            <w:r w:rsidR="000F327F">
              <w:rPr>
                <w:rFonts w:cs="Arial"/>
                <w:i/>
                <w:color w:val="000000" w:themeColor="text1"/>
                <w:sz w:val="20"/>
                <w:szCs w:val="20"/>
              </w:rPr>
              <w:t xml:space="preserve">limited </w:t>
            </w:r>
            <w:r w:rsidR="0099147B">
              <w:rPr>
                <w:rFonts w:cs="Arial"/>
                <w:i/>
                <w:color w:val="000000" w:themeColor="text1"/>
                <w:sz w:val="20"/>
                <w:szCs w:val="20"/>
              </w:rPr>
              <w:t>operation on coal as a backup fuel</w:t>
            </w:r>
            <w:r w:rsidR="003F2548">
              <w:rPr>
                <w:rFonts w:cs="Arial"/>
                <w:i/>
                <w:color w:val="000000" w:themeColor="text1"/>
                <w:sz w:val="20"/>
                <w:szCs w:val="20"/>
              </w:rPr>
              <w:t>.</w:t>
            </w:r>
          </w:p>
        </w:tc>
      </w:tr>
    </w:tbl>
    <w:p w14:paraId="514FAD28" w14:textId="686CED4B" w:rsidR="00415D2F" w:rsidRDefault="00415D2F" w:rsidP="00F34EE1">
      <w:pPr>
        <w:pStyle w:val="Heading3"/>
        <w:spacing w:before="240" w:after="120"/>
        <w:rPr>
          <w:b/>
          <w:bCs/>
        </w:rPr>
      </w:pPr>
      <w:bookmarkStart w:id="21" w:name="_Toc130200999"/>
      <w:bookmarkStart w:id="22" w:name="_Toc94197911"/>
      <w:bookmarkStart w:id="23" w:name="_Toc117253449"/>
      <w:r w:rsidRPr="003F693A">
        <w:rPr>
          <w:b/>
          <w:bCs/>
        </w:rPr>
        <w:t>2.</w:t>
      </w:r>
      <w:r>
        <w:rPr>
          <w:b/>
          <w:bCs/>
        </w:rPr>
        <w:t>1</w:t>
      </w:r>
      <w:r w:rsidRPr="003F693A">
        <w:rPr>
          <w:b/>
          <w:bCs/>
        </w:rPr>
        <w:t xml:space="preserve">.1 </w:t>
      </w:r>
      <w:r w:rsidR="00A01118">
        <w:rPr>
          <w:b/>
          <w:bCs/>
        </w:rPr>
        <w:t>Waters of the United States</w:t>
      </w:r>
      <w:r w:rsidRPr="003F693A">
        <w:rPr>
          <w:b/>
          <w:bCs/>
        </w:rPr>
        <w:t xml:space="preserve"> (</w:t>
      </w:r>
      <w:r w:rsidR="0061456B">
        <w:rPr>
          <w:b/>
          <w:bCs/>
        </w:rPr>
        <w:t>3</w:t>
      </w:r>
      <w:r w:rsidR="00D8662E">
        <w:rPr>
          <w:b/>
          <w:bCs/>
        </w:rPr>
        <w:t>3</w:t>
      </w:r>
      <w:r w:rsidR="0061456B">
        <w:rPr>
          <w:b/>
          <w:bCs/>
        </w:rPr>
        <w:t xml:space="preserve"> CFR 328 and 40 </w:t>
      </w:r>
      <w:r w:rsidRPr="003F693A">
        <w:rPr>
          <w:b/>
          <w:bCs/>
        </w:rPr>
        <w:t>CFR 12</w:t>
      </w:r>
      <w:r w:rsidR="0061456B">
        <w:rPr>
          <w:b/>
          <w:bCs/>
        </w:rPr>
        <w:t>0</w:t>
      </w:r>
      <w:r w:rsidRPr="003F693A">
        <w:rPr>
          <w:b/>
          <w:bCs/>
        </w:rPr>
        <w:t>)</w:t>
      </w:r>
      <w:bookmarkEnd w:id="21"/>
    </w:p>
    <w:p w14:paraId="6EA3D4C6" w14:textId="60B75BF8" w:rsidR="006204F0" w:rsidRDefault="00415D2F" w:rsidP="009E7CE7">
      <w:pPr>
        <w:spacing w:after="120"/>
      </w:pPr>
      <w:r w:rsidRPr="00415D2F">
        <w:t xml:space="preserve">The </w:t>
      </w:r>
      <w:r w:rsidR="001012CA">
        <w:t xml:space="preserve">regulatory definition of </w:t>
      </w:r>
      <w:r w:rsidRPr="00415D2F">
        <w:t xml:space="preserve">“waters of the United States” </w:t>
      </w:r>
      <w:r w:rsidR="006204F0">
        <w:t xml:space="preserve">(“WOTUS”) </w:t>
      </w:r>
      <w:r w:rsidRPr="00415D2F">
        <w:t xml:space="preserve">outlines the scope of waters federally regulated under the Clean Water Act. The </w:t>
      </w:r>
      <w:r w:rsidR="001012CA">
        <w:t>definition</w:t>
      </w:r>
      <w:r w:rsidRPr="00415D2F">
        <w:t xml:space="preserve"> affects all CWA programs that rely on this definition, including the NPDES permit program, the dredge-and-fill permit program, and oil spill </w:t>
      </w:r>
      <w:r w:rsidRPr="00415D2F">
        <w:lastRenderedPageBreak/>
        <w:t xml:space="preserve">prevention and response programs. </w:t>
      </w:r>
      <w:r w:rsidR="001012CA">
        <w:t>Regulation regarding WOTUS</w:t>
      </w:r>
      <w:r w:rsidRPr="00415D2F">
        <w:t xml:space="preserve"> is administered by the EPA and the USACE (“the Agencies”).</w:t>
      </w:r>
    </w:p>
    <w:p w14:paraId="7441D16B" w14:textId="1244D315" w:rsidR="006204F0" w:rsidRDefault="006204F0" w:rsidP="00415D2F">
      <w:r w:rsidRPr="006204F0">
        <w:t xml:space="preserve">In August 2015, the Agencies issued a final rule re-defining WOTUS to exert very broad jurisdiction over water features, including features that have not previously been regulated, such as ephemeral drainages and isolated ponds </w:t>
      </w:r>
      <w:r w:rsidR="00391A35">
        <w:t>at</w:t>
      </w:r>
      <w:r w:rsidRPr="006204F0">
        <w:t xml:space="preserve"> industrial facilities. Then, in April 2020, the Agencies finalized </w:t>
      </w:r>
      <w:r w:rsidR="008E5090">
        <w:t xml:space="preserve">the </w:t>
      </w:r>
      <w:r w:rsidR="00944F17">
        <w:t>Navigable Waters Protection Rule (“</w:t>
      </w:r>
      <w:r w:rsidR="008E5090">
        <w:t>NWPR</w:t>
      </w:r>
      <w:r w:rsidR="00944F17">
        <w:t>”)</w:t>
      </w:r>
      <w:r w:rsidRPr="006204F0">
        <w:t xml:space="preserve"> to repeal the 2015 </w:t>
      </w:r>
      <w:r w:rsidR="00944F17">
        <w:t>definition,</w:t>
      </w:r>
      <w:r w:rsidRPr="006204F0">
        <w:t xml:space="preserve"> effectively restoring the regulatory text that existed prior to the 2015 rulemaking.</w:t>
      </w:r>
    </w:p>
    <w:p w14:paraId="4CDA326F" w14:textId="70F40D87" w:rsidR="00415D2F" w:rsidRDefault="00415D2F" w:rsidP="00415D2F">
      <w:r>
        <w:t xml:space="preserve">In 2021, the Agencies, in response to court order, </w:t>
      </w:r>
      <w:r w:rsidRPr="006204F0">
        <w:t xml:space="preserve">announced they halted implementation of the NWPR and </w:t>
      </w:r>
      <w:r w:rsidR="00090F96">
        <w:t>were</w:t>
      </w:r>
      <w:r w:rsidRPr="006204F0">
        <w:t xml:space="preserve"> interpreting WOTUS consistent with the pre-2015 regulatory regime until further notice. The Agencies completed review of the NWPR under the</w:t>
      </w:r>
      <w:r>
        <w:rPr>
          <w:rFonts w:eastAsia="Arial" w:cs="Arial"/>
          <w:color w:val="000000" w:themeColor="text1"/>
          <w:szCs w:val="24"/>
        </w:rPr>
        <w:t xml:space="preserve"> Biden Administration’s </w:t>
      </w:r>
      <w:r w:rsidR="00DD3382">
        <w:rPr>
          <w:rFonts w:eastAsia="Arial" w:cs="Arial"/>
          <w:color w:val="000000" w:themeColor="text1"/>
          <w:szCs w:val="24"/>
        </w:rPr>
        <w:t xml:space="preserve">Executive Order </w:t>
      </w:r>
      <w:r>
        <w:rPr>
          <w:rFonts w:eastAsia="Arial" w:cs="Arial"/>
          <w:color w:val="000000" w:themeColor="text1"/>
          <w:szCs w:val="24"/>
        </w:rPr>
        <w:t xml:space="preserve">13990 and determined the rule </w:t>
      </w:r>
      <w:r w:rsidR="00D92989">
        <w:rPr>
          <w:rFonts w:eastAsia="Arial" w:cs="Arial"/>
          <w:color w:val="000000" w:themeColor="text1"/>
          <w:szCs w:val="24"/>
        </w:rPr>
        <w:t>would</w:t>
      </w:r>
      <w:r>
        <w:rPr>
          <w:rFonts w:eastAsia="Arial" w:cs="Arial"/>
          <w:color w:val="000000" w:themeColor="text1"/>
          <w:szCs w:val="24"/>
        </w:rPr>
        <w:t xml:space="preserve"> be replaced. </w:t>
      </w:r>
      <w:r>
        <w:t xml:space="preserve">In December 2021, </w:t>
      </w:r>
      <w:r w:rsidR="00095B9D">
        <w:t xml:space="preserve">EPA </w:t>
      </w:r>
      <w:r>
        <w:t xml:space="preserve">proposed </w:t>
      </w:r>
      <w:r w:rsidR="00095B9D">
        <w:t xml:space="preserve">a </w:t>
      </w:r>
      <w:r w:rsidR="003852FC">
        <w:t xml:space="preserve">rule </w:t>
      </w:r>
      <w:r>
        <w:t xml:space="preserve">revision </w:t>
      </w:r>
      <w:r w:rsidR="003852FC">
        <w:t xml:space="preserve">intended to repeal </w:t>
      </w:r>
      <w:r>
        <w:t>the</w:t>
      </w:r>
      <w:r w:rsidR="003852FC">
        <w:t xml:space="preserve"> 2020</w:t>
      </w:r>
      <w:r>
        <w:t xml:space="preserve"> NWPR and </w:t>
      </w:r>
      <w:r w:rsidR="00D92989">
        <w:t xml:space="preserve">to purportedly </w:t>
      </w:r>
      <w:r>
        <w:t>restore regulations defining “waters of the United States” that were in place prior to 2015</w:t>
      </w:r>
      <w:r w:rsidR="00C85594">
        <w:t xml:space="preserve"> but</w:t>
      </w:r>
      <w:r>
        <w:t xml:space="preserve"> with updates to be consistent with relevant Supreme Court decisions. </w:t>
      </w:r>
    </w:p>
    <w:p w14:paraId="730F524F" w14:textId="77777777" w:rsidR="00DA50A8" w:rsidRDefault="00DA50A8" w:rsidP="00DA50A8">
      <w:pPr>
        <w:spacing w:before="120" w:after="0" w:line="240" w:lineRule="auto"/>
        <w:rPr>
          <w:rFonts w:eastAsia="Arial" w:cs="Arial"/>
          <w:b/>
          <w:bCs/>
          <w:color w:val="000000" w:themeColor="text1"/>
        </w:rPr>
      </w:pPr>
      <w:r>
        <w:rPr>
          <w:rFonts w:eastAsia="Arial" w:cs="Arial"/>
          <w:b/>
          <w:bCs/>
          <w:color w:val="000000" w:themeColor="text1"/>
        </w:rPr>
        <w:t>New</w:t>
      </w:r>
      <w:r w:rsidRPr="00620637">
        <w:rPr>
          <w:rFonts w:eastAsia="Arial" w:cs="Arial"/>
          <w:b/>
          <w:bCs/>
          <w:color w:val="000000" w:themeColor="text1"/>
        </w:rPr>
        <w:t xml:space="preserve"> Regulatory Updates</w:t>
      </w:r>
    </w:p>
    <w:p w14:paraId="0C27EF2D" w14:textId="531A1F42" w:rsidR="00DA50A8" w:rsidRDefault="002861FE" w:rsidP="00DA50A8">
      <w:pPr>
        <w:pStyle w:val="ListParagraph"/>
        <w:numPr>
          <w:ilvl w:val="0"/>
          <w:numId w:val="16"/>
        </w:numPr>
        <w:rPr>
          <w:rFonts w:asciiTheme="minorHAnsi" w:eastAsia="Arial" w:hAnsiTheme="minorHAnsi" w:cs="Arial"/>
          <w:color w:val="000000" w:themeColor="text1"/>
          <w:sz w:val="22"/>
        </w:rPr>
      </w:pPr>
      <w:r>
        <w:rPr>
          <w:rFonts w:asciiTheme="minorHAnsi" w:eastAsia="Arial" w:hAnsiTheme="minorHAnsi" w:cs="Arial"/>
          <w:color w:val="000000" w:themeColor="text1"/>
          <w:sz w:val="22"/>
        </w:rPr>
        <w:t>O</w:t>
      </w:r>
      <w:r w:rsidR="00F66B34">
        <w:rPr>
          <w:rFonts w:asciiTheme="minorHAnsi" w:eastAsia="Arial" w:hAnsiTheme="minorHAnsi" w:cs="Arial"/>
          <w:color w:val="000000" w:themeColor="text1"/>
          <w:sz w:val="22"/>
        </w:rPr>
        <w:t>n January</w:t>
      </w:r>
      <w:r>
        <w:rPr>
          <w:rFonts w:asciiTheme="minorHAnsi" w:eastAsia="Arial" w:hAnsiTheme="minorHAnsi" w:cs="Arial"/>
          <w:color w:val="000000" w:themeColor="text1"/>
          <w:sz w:val="22"/>
        </w:rPr>
        <w:t xml:space="preserve"> 18,</w:t>
      </w:r>
      <w:r w:rsidR="00F66B34">
        <w:rPr>
          <w:rFonts w:asciiTheme="minorHAnsi" w:eastAsia="Arial" w:hAnsiTheme="minorHAnsi" w:cs="Arial"/>
          <w:color w:val="000000" w:themeColor="text1"/>
          <w:sz w:val="22"/>
        </w:rPr>
        <w:t xml:space="preserve"> 2023, </w:t>
      </w:r>
      <w:r w:rsidR="00DA50A8" w:rsidRPr="00DA50A8">
        <w:rPr>
          <w:rFonts w:asciiTheme="minorHAnsi" w:eastAsia="Arial" w:hAnsiTheme="minorHAnsi" w:cs="Arial"/>
          <w:color w:val="000000" w:themeColor="text1"/>
          <w:sz w:val="22"/>
        </w:rPr>
        <w:t xml:space="preserve">EPA </w:t>
      </w:r>
      <w:r>
        <w:rPr>
          <w:rFonts w:asciiTheme="minorHAnsi" w:eastAsia="Arial" w:hAnsiTheme="minorHAnsi" w:cs="Arial"/>
          <w:color w:val="000000" w:themeColor="text1"/>
          <w:sz w:val="22"/>
        </w:rPr>
        <w:t>published</w:t>
      </w:r>
      <w:r w:rsidR="00F66B34">
        <w:rPr>
          <w:rFonts w:asciiTheme="minorHAnsi" w:eastAsia="Arial" w:hAnsiTheme="minorHAnsi" w:cs="Arial"/>
          <w:color w:val="000000" w:themeColor="text1"/>
          <w:sz w:val="22"/>
        </w:rPr>
        <w:t xml:space="preserve"> the </w:t>
      </w:r>
      <w:r w:rsidR="005B4826">
        <w:rPr>
          <w:rFonts w:asciiTheme="minorHAnsi" w:eastAsia="Arial" w:hAnsiTheme="minorHAnsi" w:cs="Arial"/>
          <w:color w:val="000000" w:themeColor="text1"/>
          <w:sz w:val="22"/>
        </w:rPr>
        <w:t xml:space="preserve">final </w:t>
      </w:r>
      <w:r w:rsidR="00F66B34">
        <w:rPr>
          <w:rFonts w:asciiTheme="minorHAnsi" w:eastAsia="Arial" w:hAnsiTheme="minorHAnsi" w:cs="Arial"/>
          <w:color w:val="000000" w:themeColor="text1"/>
          <w:sz w:val="22"/>
        </w:rPr>
        <w:t>updated WOTUS definition</w:t>
      </w:r>
      <w:r w:rsidR="007D0962">
        <w:rPr>
          <w:rFonts w:asciiTheme="minorHAnsi" w:eastAsia="Arial" w:hAnsiTheme="minorHAnsi" w:cs="Arial"/>
          <w:color w:val="000000" w:themeColor="text1"/>
          <w:sz w:val="22"/>
        </w:rPr>
        <w:t xml:space="preserve"> </w:t>
      </w:r>
      <w:r w:rsidR="009421C2">
        <w:rPr>
          <w:rFonts w:asciiTheme="minorHAnsi" w:eastAsia="Arial" w:hAnsiTheme="minorHAnsi" w:cs="Arial"/>
          <w:color w:val="000000" w:themeColor="text1"/>
          <w:sz w:val="22"/>
        </w:rPr>
        <w:t>(“Phase I WOTUS”)</w:t>
      </w:r>
      <w:r w:rsidR="005B4826">
        <w:rPr>
          <w:rFonts w:asciiTheme="minorHAnsi" w:eastAsia="Arial" w:hAnsiTheme="minorHAnsi" w:cs="Arial"/>
          <w:color w:val="000000" w:themeColor="text1"/>
          <w:sz w:val="22"/>
        </w:rPr>
        <w:t xml:space="preserve">, which was </w:t>
      </w:r>
      <w:r w:rsidR="007D0962">
        <w:rPr>
          <w:rFonts w:asciiTheme="minorHAnsi" w:eastAsia="Arial" w:hAnsiTheme="minorHAnsi" w:cs="Arial"/>
          <w:color w:val="000000" w:themeColor="text1"/>
          <w:sz w:val="22"/>
        </w:rPr>
        <w:t xml:space="preserve">challenged by multiple </w:t>
      </w:r>
      <w:r w:rsidR="003218DE">
        <w:rPr>
          <w:rFonts w:asciiTheme="minorHAnsi" w:eastAsia="Arial" w:hAnsiTheme="minorHAnsi" w:cs="Arial"/>
          <w:color w:val="000000" w:themeColor="text1"/>
          <w:sz w:val="22"/>
        </w:rPr>
        <w:t>parties</w:t>
      </w:r>
      <w:r w:rsidR="00F23E3B">
        <w:rPr>
          <w:rFonts w:asciiTheme="minorHAnsi" w:eastAsia="Arial" w:hAnsiTheme="minorHAnsi" w:cs="Arial"/>
          <w:color w:val="000000" w:themeColor="text1"/>
          <w:sz w:val="22"/>
        </w:rPr>
        <w:t>, including the State of Georgia,</w:t>
      </w:r>
      <w:r w:rsidR="00D04DEC">
        <w:rPr>
          <w:rFonts w:asciiTheme="minorHAnsi" w:eastAsia="Arial" w:hAnsiTheme="minorHAnsi" w:cs="Arial"/>
          <w:color w:val="000000" w:themeColor="text1"/>
          <w:sz w:val="22"/>
        </w:rPr>
        <w:t xml:space="preserve"> in several courts across the U.S.</w:t>
      </w:r>
      <w:r w:rsidR="00F01CB5">
        <w:rPr>
          <w:rFonts w:asciiTheme="minorHAnsi" w:eastAsia="Arial" w:hAnsiTheme="minorHAnsi" w:cs="Arial"/>
          <w:color w:val="000000" w:themeColor="text1"/>
          <w:sz w:val="22"/>
        </w:rPr>
        <w:t xml:space="preserve"> and stayed in 27 states, including Georgia.</w:t>
      </w:r>
    </w:p>
    <w:p w14:paraId="55D2D3D7" w14:textId="1F5788ED" w:rsidR="00D3789C" w:rsidRPr="00D3789C" w:rsidRDefault="004A1FC1" w:rsidP="00DC192E">
      <w:pPr>
        <w:pStyle w:val="ListParagraph"/>
        <w:numPr>
          <w:ilvl w:val="0"/>
          <w:numId w:val="16"/>
        </w:numPr>
        <w:rPr>
          <w:rFonts w:asciiTheme="minorHAnsi" w:eastAsia="Arial" w:hAnsiTheme="minorHAnsi" w:cs="Arial"/>
          <w:color w:val="000000" w:themeColor="text1"/>
          <w:sz w:val="22"/>
        </w:rPr>
      </w:pPr>
      <w:r>
        <w:rPr>
          <w:rFonts w:asciiTheme="minorHAnsi" w:eastAsia="Arial" w:hAnsiTheme="minorHAnsi" w:cs="Arial"/>
          <w:color w:val="000000" w:themeColor="text1"/>
          <w:sz w:val="22"/>
        </w:rPr>
        <w:t>On May 25, 2023, t</w:t>
      </w:r>
      <w:r w:rsidR="00D3789C" w:rsidRPr="004547DC">
        <w:rPr>
          <w:rFonts w:asciiTheme="minorHAnsi" w:eastAsia="Arial" w:hAnsiTheme="minorHAnsi" w:cs="Arial"/>
          <w:color w:val="000000" w:themeColor="text1"/>
          <w:sz w:val="22"/>
        </w:rPr>
        <w:t>he U.S. Supreme Court issued its decision in Sackett v. EPA</w:t>
      </w:r>
      <w:r w:rsidR="00781E97">
        <w:rPr>
          <w:rFonts w:asciiTheme="minorHAnsi" w:eastAsia="Arial" w:hAnsiTheme="minorHAnsi" w:cs="Arial"/>
          <w:color w:val="000000" w:themeColor="text1"/>
          <w:sz w:val="22"/>
        </w:rPr>
        <w:t>,</w:t>
      </w:r>
      <w:r w:rsidR="00D3789C" w:rsidRPr="004547DC">
        <w:rPr>
          <w:rFonts w:asciiTheme="minorHAnsi" w:eastAsia="Arial" w:hAnsiTheme="minorHAnsi" w:cs="Arial"/>
          <w:color w:val="000000" w:themeColor="text1"/>
          <w:sz w:val="22"/>
        </w:rPr>
        <w:t xml:space="preserve"> which effectively invalidates po</w:t>
      </w:r>
      <w:r w:rsidR="00125752">
        <w:rPr>
          <w:rFonts w:asciiTheme="minorHAnsi" w:eastAsia="Arial" w:hAnsiTheme="minorHAnsi" w:cs="Arial"/>
          <w:color w:val="000000" w:themeColor="text1"/>
          <w:sz w:val="22"/>
        </w:rPr>
        <w:t>r</w:t>
      </w:r>
      <w:r w:rsidR="00D3789C" w:rsidRPr="004547DC">
        <w:rPr>
          <w:rFonts w:asciiTheme="minorHAnsi" w:eastAsia="Arial" w:hAnsiTheme="minorHAnsi" w:cs="Arial"/>
          <w:color w:val="000000" w:themeColor="text1"/>
          <w:sz w:val="22"/>
        </w:rPr>
        <w:t>tions of the 2023 WO</w:t>
      </w:r>
      <w:r w:rsidR="008A546C">
        <w:rPr>
          <w:rFonts w:asciiTheme="minorHAnsi" w:eastAsia="Arial" w:hAnsiTheme="minorHAnsi" w:cs="Arial"/>
          <w:color w:val="000000" w:themeColor="text1"/>
          <w:sz w:val="22"/>
        </w:rPr>
        <w:t>T</w:t>
      </w:r>
      <w:r w:rsidR="00D3789C" w:rsidRPr="004547DC">
        <w:rPr>
          <w:rFonts w:asciiTheme="minorHAnsi" w:eastAsia="Arial" w:hAnsiTheme="minorHAnsi" w:cs="Arial"/>
          <w:color w:val="000000" w:themeColor="text1"/>
          <w:sz w:val="22"/>
        </w:rPr>
        <w:t xml:space="preserve">US rule that </w:t>
      </w:r>
      <w:r w:rsidR="00E45353">
        <w:rPr>
          <w:rFonts w:asciiTheme="minorHAnsi" w:eastAsia="Arial" w:hAnsiTheme="minorHAnsi" w:cs="Arial"/>
          <w:color w:val="000000" w:themeColor="text1"/>
          <w:sz w:val="22"/>
        </w:rPr>
        <w:t xml:space="preserve">would have </w:t>
      </w:r>
      <w:r w:rsidR="00D3789C" w:rsidRPr="004547DC">
        <w:rPr>
          <w:rFonts w:asciiTheme="minorHAnsi" w:eastAsia="Arial" w:hAnsiTheme="minorHAnsi" w:cs="Arial"/>
          <w:color w:val="000000" w:themeColor="text1"/>
          <w:sz w:val="22"/>
        </w:rPr>
        <w:t>change</w:t>
      </w:r>
      <w:r w:rsidR="00E45353">
        <w:rPr>
          <w:rFonts w:asciiTheme="minorHAnsi" w:eastAsia="Arial" w:hAnsiTheme="minorHAnsi" w:cs="Arial"/>
          <w:color w:val="000000" w:themeColor="text1"/>
          <w:sz w:val="22"/>
        </w:rPr>
        <w:t>d</w:t>
      </w:r>
      <w:r w:rsidR="00D3789C" w:rsidRPr="004547DC">
        <w:rPr>
          <w:rFonts w:asciiTheme="minorHAnsi" w:eastAsia="Arial" w:hAnsiTheme="minorHAnsi" w:cs="Arial"/>
          <w:color w:val="000000" w:themeColor="text1"/>
          <w:sz w:val="22"/>
        </w:rPr>
        <w:t xml:space="preserve"> the way wetlands </w:t>
      </w:r>
      <w:r w:rsidR="00E45353">
        <w:rPr>
          <w:rFonts w:asciiTheme="minorHAnsi" w:eastAsia="Arial" w:hAnsiTheme="minorHAnsi" w:cs="Arial"/>
          <w:color w:val="000000" w:themeColor="text1"/>
          <w:sz w:val="22"/>
        </w:rPr>
        <w:t xml:space="preserve">would </w:t>
      </w:r>
      <w:r w:rsidR="00D3789C" w:rsidRPr="004547DC">
        <w:rPr>
          <w:rFonts w:asciiTheme="minorHAnsi" w:eastAsia="Arial" w:hAnsiTheme="minorHAnsi" w:cs="Arial"/>
          <w:color w:val="000000" w:themeColor="text1"/>
          <w:sz w:val="22"/>
        </w:rPr>
        <w:t xml:space="preserve">be defined and determined by the </w:t>
      </w:r>
      <w:r w:rsidR="00E45353">
        <w:rPr>
          <w:rFonts w:asciiTheme="minorHAnsi" w:eastAsia="Arial" w:hAnsiTheme="minorHAnsi" w:cs="Arial"/>
          <w:color w:val="000000" w:themeColor="text1"/>
          <w:sz w:val="22"/>
        </w:rPr>
        <w:t xml:space="preserve">U.S. </w:t>
      </w:r>
      <w:r w:rsidR="00742942">
        <w:rPr>
          <w:rFonts w:asciiTheme="minorHAnsi" w:eastAsia="Arial" w:hAnsiTheme="minorHAnsi" w:cs="Arial"/>
          <w:color w:val="000000" w:themeColor="text1"/>
          <w:sz w:val="22"/>
        </w:rPr>
        <w:t xml:space="preserve">Army </w:t>
      </w:r>
      <w:r w:rsidR="00D3789C" w:rsidRPr="004547DC">
        <w:rPr>
          <w:rFonts w:asciiTheme="minorHAnsi" w:eastAsia="Arial" w:hAnsiTheme="minorHAnsi" w:cs="Arial"/>
          <w:color w:val="000000" w:themeColor="text1"/>
          <w:sz w:val="22"/>
        </w:rPr>
        <w:t>Corps</w:t>
      </w:r>
      <w:r w:rsidR="00E45353">
        <w:rPr>
          <w:rFonts w:asciiTheme="minorHAnsi" w:eastAsia="Arial" w:hAnsiTheme="minorHAnsi" w:cs="Arial"/>
          <w:color w:val="000000" w:themeColor="text1"/>
          <w:sz w:val="22"/>
        </w:rPr>
        <w:t xml:space="preserve"> of Engineers</w:t>
      </w:r>
      <w:r w:rsidR="00D3789C" w:rsidRPr="004547DC">
        <w:rPr>
          <w:rFonts w:asciiTheme="minorHAnsi" w:eastAsia="Arial" w:hAnsiTheme="minorHAnsi" w:cs="Arial"/>
          <w:color w:val="000000" w:themeColor="text1"/>
          <w:sz w:val="22"/>
        </w:rPr>
        <w:t xml:space="preserve">.  </w:t>
      </w:r>
    </w:p>
    <w:p w14:paraId="076E1C6D" w14:textId="51F11C5E" w:rsidR="003A515E" w:rsidRPr="003A515E" w:rsidRDefault="003A515E" w:rsidP="008D2067">
      <w:pPr>
        <w:pStyle w:val="ListParagraph"/>
        <w:numPr>
          <w:ilvl w:val="0"/>
          <w:numId w:val="16"/>
        </w:numPr>
        <w:rPr>
          <w:rFonts w:asciiTheme="minorHAnsi" w:eastAsia="Arial" w:hAnsiTheme="minorHAnsi" w:cs="Arial"/>
          <w:color w:val="000000" w:themeColor="text1"/>
          <w:sz w:val="22"/>
        </w:rPr>
      </w:pPr>
      <w:r w:rsidRPr="00E63AC3">
        <w:rPr>
          <w:rFonts w:asciiTheme="minorHAnsi" w:eastAsia="Arial" w:hAnsiTheme="minorHAnsi" w:cs="Arial"/>
          <w:color w:val="000000" w:themeColor="text1"/>
          <w:sz w:val="22"/>
        </w:rPr>
        <w:t>On September 8, 2023, the EPA and Corps published the final revised WOTUS rule</w:t>
      </w:r>
      <w:r w:rsidR="00E91275">
        <w:rPr>
          <w:rFonts w:asciiTheme="minorHAnsi" w:eastAsia="Arial" w:hAnsiTheme="minorHAnsi" w:cs="Arial"/>
          <w:color w:val="000000" w:themeColor="text1"/>
          <w:sz w:val="22"/>
        </w:rPr>
        <w:t xml:space="preserve">, with the stated intent of </w:t>
      </w:r>
      <w:r w:rsidRPr="004547DC">
        <w:rPr>
          <w:rFonts w:asciiTheme="minorHAnsi" w:eastAsia="Arial" w:hAnsiTheme="minorHAnsi" w:cs="Arial"/>
          <w:color w:val="000000" w:themeColor="text1"/>
          <w:sz w:val="22"/>
        </w:rPr>
        <w:t>align</w:t>
      </w:r>
      <w:r w:rsidR="00E91275">
        <w:rPr>
          <w:rFonts w:asciiTheme="minorHAnsi" w:eastAsia="Arial" w:hAnsiTheme="minorHAnsi" w:cs="Arial"/>
          <w:color w:val="000000" w:themeColor="text1"/>
          <w:sz w:val="22"/>
        </w:rPr>
        <w:t>ing</w:t>
      </w:r>
      <w:r w:rsidRPr="004547DC">
        <w:rPr>
          <w:rFonts w:asciiTheme="minorHAnsi" w:eastAsia="Arial" w:hAnsiTheme="minorHAnsi" w:cs="Arial"/>
          <w:color w:val="000000" w:themeColor="text1"/>
          <w:sz w:val="22"/>
        </w:rPr>
        <w:t xml:space="preserve"> the definition of “WOTUS” under the Clean Water Act (“CWA”) with the U.S. Supreme Court’s May 25th decision in Sackett v. EPA. </w:t>
      </w:r>
    </w:p>
    <w:p w14:paraId="44AE5F7E" w14:textId="57FDAC04" w:rsidR="003A515E" w:rsidRPr="00E63AC3" w:rsidRDefault="003A515E" w:rsidP="00DC192E">
      <w:pPr>
        <w:pStyle w:val="ListParagraph"/>
        <w:numPr>
          <w:ilvl w:val="0"/>
          <w:numId w:val="16"/>
        </w:numPr>
        <w:rPr>
          <w:rFonts w:asciiTheme="minorHAnsi" w:eastAsia="Arial" w:hAnsiTheme="minorHAnsi" w:cs="Arial"/>
          <w:color w:val="000000" w:themeColor="text1"/>
          <w:sz w:val="22"/>
        </w:rPr>
      </w:pPr>
      <w:r w:rsidRPr="00E63AC3">
        <w:rPr>
          <w:rFonts w:asciiTheme="minorHAnsi" w:eastAsia="Arial" w:hAnsiTheme="minorHAnsi" w:cs="Arial"/>
          <w:color w:val="000000" w:themeColor="text1"/>
          <w:sz w:val="22"/>
        </w:rPr>
        <w:t>The Agencies</w:t>
      </w:r>
      <w:r w:rsidR="00085F94">
        <w:rPr>
          <w:rFonts w:asciiTheme="minorHAnsi" w:eastAsia="Arial" w:hAnsiTheme="minorHAnsi" w:cs="Arial"/>
          <w:color w:val="000000" w:themeColor="text1"/>
          <w:sz w:val="22"/>
        </w:rPr>
        <w:t xml:space="preserve"> have</w:t>
      </w:r>
      <w:r w:rsidRPr="00E63AC3">
        <w:rPr>
          <w:rFonts w:asciiTheme="minorHAnsi" w:eastAsia="Arial" w:hAnsiTheme="minorHAnsi" w:cs="Arial"/>
          <w:color w:val="000000" w:themeColor="text1"/>
          <w:sz w:val="22"/>
        </w:rPr>
        <w:t xml:space="preserve"> indicated that they are “developing regionally specific tools to facilitate implementation,” and emphasized that they have “a wide range of available approaches” to address remaining issues, including permitting actions, jurisdictional determinations, guidance, rulemakings, and agency forms and training materials</w:t>
      </w:r>
      <w:r w:rsidR="00085F94">
        <w:rPr>
          <w:rFonts w:asciiTheme="minorHAnsi" w:eastAsia="Arial" w:hAnsiTheme="minorHAnsi" w:cs="Arial"/>
          <w:color w:val="000000" w:themeColor="text1"/>
          <w:sz w:val="22"/>
        </w:rPr>
        <w:t>.</w:t>
      </w:r>
    </w:p>
    <w:p w14:paraId="1A11314C" w14:textId="27537DEA" w:rsidR="00BE3E3C" w:rsidRPr="003F693A" w:rsidRDefault="00210D1D" w:rsidP="00C942DB">
      <w:pPr>
        <w:pStyle w:val="Heading3"/>
        <w:spacing w:before="120"/>
        <w:rPr>
          <w:b/>
          <w:bCs/>
        </w:rPr>
      </w:pPr>
      <w:bookmarkStart w:id="24" w:name="_Toc130201000"/>
      <w:r w:rsidRPr="003F693A">
        <w:rPr>
          <w:b/>
          <w:bCs/>
        </w:rPr>
        <w:t>2</w:t>
      </w:r>
      <w:r w:rsidR="00BE3E3C" w:rsidRPr="003F693A">
        <w:rPr>
          <w:b/>
          <w:bCs/>
        </w:rPr>
        <w:t>.</w:t>
      </w:r>
      <w:r w:rsidR="00491B92">
        <w:rPr>
          <w:b/>
          <w:bCs/>
        </w:rPr>
        <w:t>1</w:t>
      </w:r>
      <w:r w:rsidR="00BE3E3C" w:rsidRPr="003F693A">
        <w:rPr>
          <w:b/>
          <w:bCs/>
        </w:rPr>
        <w:t>.</w:t>
      </w:r>
      <w:r w:rsidR="00A138E3">
        <w:rPr>
          <w:b/>
          <w:bCs/>
        </w:rPr>
        <w:t>2</w:t>
      </w:r>
      <w:r w:rsidR="00BE3E3C" w:rsidRPr="003F693A">
        <w:rPr>
          <w:b/>
          <w:bCs/>
        </w:rPr>
        <w:t xml:space="preserve"> Cooling Water Intake Structures</w:t>
      </w:r>
      <w:bookmarkEnd w:id="22"/>
      <w:bookmarkEnd w:id="23"/>
      <w:r w:rsidR="00521893" w:rsidRPr="003F693A">
        <w:rPr>
          <w:b/>
          <w:bCs/>
        </w:rPr>
        <w:t xml:space="preserve"> (40 CFR 122 and 125)</w:t>
      </w:r>
      <w:bookmarkEnd w:id="24"/>
    </w:p>
    <w:p w14:paraId="6938F09D" w14:textId="0CE42077" w:rsidR="00967132" w:rsidRPr="00DB7156" w:rsidRDefault="00BE3E3C" w:rsidP="00C942DB">
      <w:pPr>
        <w:spacing w:before="120" w:after="0" w:line="240" w:lineRule="auto"/>
      </w:pPr>
      <w:r w:rsidRPr="53ADDA6E">
        <w:t>Section 316(b) of the CWA</w:t>
      </w:r>
      <w:r>
        <w:t xml:space="preserve"> (“316(b)")</w:t>
      </w:r>
      <w:r w:rsidRPr="53ADDA6E">
        <w:t xml:space="preserve"> requires that the location, design, construction, and capacity of any cooling water intake structure (“CWIS”) reflect Best Technology Available (“BTA”) to minimize adverse impacts from impingement and entrainment of fish, shellfish, and other aquatic organisms. </w:t>
      </w:r>
      <w:r w:rsidR="00967132">
        <w:t>I</w:t>
      </w:r>
      <w:r w:rsidR="00967132" w:rsidRPr="00DB7156">
        <w:t xml:space="preserve">n August 2014, EPA published a final 316(b) rule that established impingement mortality and entrainment requirements for existing power generating facilities and manufacturing and industrial facilities that are designed to withdraw more than 2 million gallons per day from </w:t>
      </w:r>
      <w:r w:rsidR="00BF15BD">
        <w:t>WOTUS</w:t>
      </w:r>
      <w:r w:rsidR="00967132" w:rsidRPr="00DB7156">
        <w:t xml:space="preserve"> and use at least 25 percent of the water they withdraw exclusively for cooling purposes. </w:t>
      </w:r>
    </w:p>
    <w:p w14:paraId="4873ACAC" w14:textId="53D149E1" w:rsidR="00967132" w:rsidRPr="00DB7156" w:rsidRDefault="00967132" w:rsidP="00C942DB">
      <w:pPr>
        <w:spacing w:before="120" w:after="0" w:line="240" w:lineRule="auto"/>
      </w:pPr>
      <w:r w:rsidRPr="00DB7156">
        <w:t xml:space="preserve">Facilities subject to the rule must comply with one of seven options identified for impingement mortality, which include modified traveling screens and closed-cycle recirculating cooling. For entrainment, the rule </w:t>
      </w:r>
      <w:r>
        <w:t xml:space="preserve">relies on </w:t>
      </w:r>
      <w:r w:rsidRPr="00DB7156">
        <w:t xml:space="preserve">the determination of BTA requirements by the permitting authority on a site-specific basis. </w:t>
      </w:r>
    </w:p>
    <w:p w14:paraId="39AED324" w14:textId="6982FD73" w:rsidR="007C14E5" w:rsidRPr="00840D0F" w:rsidRDefault="007C14E5" w:rsidP="00C942DB">
      <w:pPr>
        <w:spacing w:before="120" w:after="0" w:line="240" w:lineRule="auto"/>
        <w:rPr>
          <w:rFonts w:asciiTheme="majorHAnsi" w:eastAsiaTheme="majorEastAsia" w:hAnsiTheme="majorHAnsi" w:cstheme="majorBidi"/>
          <w:b/>
          <w:bCs/>
          <w:color w:val="2F5496" w:themeColor="accent1" w:themeShade="BF"/>
          <w:sz w:val="24"/>
          <w:szCs w:val="24"/>
          <w:u w:val="single"/>
        </w:rPr>
      </w:pPr>
      <w:r w:rsidRPr="00840D0F">
        <w:rPr>
          <w:rFonts w:asciiTheme="majorHAnsi" w:eastAsiaTheme="majorEastAsia" w:hAnsiTheme="majorHAnsi" w:cstheme="majorBidi"/>
          <w:b/>
          <w:bCs/>
          <w:color w:val="2F5496" w:themeColor="accent1" w:themeShade="BF"/>
          <w:sz w:val="24"/>
          <w:szCs w:val="24"/>
          <w:u w:val="single"/>
        </w:rPr>
        <w:t xml:space="preserve">316(b) Compliance Strategy </w:t>
      </w:r>
    </w:p>
    <w:p w14:paraId="26126821" w14:textId="188BE363" w:rsidR="005363D6" w:rsidRDefault="00BE3E3C" w:rsidP="00C942DB">
      <w:pPr>
        <w:spacing w:before="120" w:after="0" w:line="240" w:lineRule="auto"/>
      </w:pPr>
      <w:r>
        <w:t>For purposes of 316(b) rule compliance, Plants Bowen, McDonough, McIntosh CC, Scherer, and Yates employ closed-cycle cooling</w:t>
      </w:r>
      <w:r w:rsidR="008D4BA9">
        <w:t xml:space="preserve">, which has </w:t>
      </w:r>
      <w:r w:rsidR="006B4845">
        <w:t xml:space="preserve">been </w:t>
      </w:r>
      <w:r>
        <w:t xml:space="preserve">determined by EPD to comply with the impingement and entrainment BTA requirements of the rule. </w:t>
      </w:r>
      <w:r w:rsidR="002C7A28">
        <w:t>After the retirement of Plant McIntosh Unit 1 in 2019</w:t>
      </w:r>
      <w:r w:rsidR="005430AE">
        <w:t xml:space="preserve">, </w:t>
      </w:r>
      <w:r w:rsidR="005363D6" w:rsidRPr="007E510A">
        <w:t xml:space="preserve">Georgia </w:t>
      </w:r>
      <w:r w:rsidR="005363D6" w:rsidRPr="007E510A">
        <w:lastRenderedPageBreak/>
        <w:t>EPD</w:t>
      </w:r>
      <w:r w:rsidR="005430AE">
        <w:t xml:space="preserve"> issued a final NPDES permit that </w:t>
      </w:r>
      <w:r w:rsidR="00CC32C5">
        <w:t xml:space="preserve">also </w:t>
      </w:r>
      <w:r w:rsidR="005430AE">
        <w:t xml:space="preserve">required </w:t>
      </w:r>
      <w:r w:rsidR="00BE7FC5">
        <w:t xml:space="preserve">reducing </w:t>
      </w:r>
      <w:r w:rsidR="005363D6">
        <w:t>entrainment related to the</w:t>
      </w:r>
      <w:r w:rsidR="005363D6" w:rsidRPr="007E510A" w:rsidDel="000465C1">
        <w:t xml:space="preserve"> </w:t>
      </w:r>
      <w:r w:rsidR="005363D6" w:rsidRPr="007E510A">
        <w:t>remaining units</w:t>
      </w:r>
      <w:r w:rsidR="00DE5F1B">
        <w:t xml:space="preserve"> at the site</w:t>
      </w:r>
      <w:r w:rsidR="005430AE">
        <w:t xml:space="preserve"> by </w:t>
      </w:r>
      <w:r w:rsidR="005363D6" w:rsidRPr="007E510A">
        <w:t>replac</w:t>
      </w:r>
      <w:r w:rsidR="006C6842">
        <w:t>ing</w:t>
      </w:r>
      <w:r w:rsidR="005363D6" w:rsidRPr="007E510A">
        <w:t xml:space="preserve"> the existing intake pumps</w:t>
      </w:r>
      <w:r w:rsidR="000432DD">
        <w:t xml:space="preserve">. The intake pump modification allowed for </w:t>
      </w:r>
      <w:r w:rsidR="005363D6" w:rsidRPr="007E510A">
        <w:t xml:space="preserve">smaller pumps </w:t>
      </w:r>
      <w:r w:rsidR="005363D6">
        <w:t>appropriately sized</w:t>
      </w:r>
      <w:r w:rsidR="005363D6" w:rsidRPr="007E510A">
        <w:t xml:space="preserve"> with the water intake needs and operation of the cooling towers for the combined cycle Units 10 and 11.</w:t>
      </w:r>
      <w:r w:rsidR="005363D6">
        <w:t xml:space="preserve"> This project was successfully completed in 2021.</w:t>
      </w:r>
      <w:r w:rsidR="005363D6" w:rsidRPr="007E510A">
        <w:t xml:space="preserve"> </w:t>
      </w:r>
      <w:r w:rsidR="00122856">
        <w:t>Otherwise, f</w:t>
      </w:r>
      <w:r w:rsidR="00C87D83">
        <w:t xml:space="preserve">or all sites with closed-cycle cooling, </w:t>
      </w:r>
      <w:r w:rsidR="007A0D06">
        <w:t xml:space="preserve">the only additional requirement </w:t>
      </w:r>
      <w:r w:rsidR="008113AB">
        <w:t xml:space="preserve">EPD has </w:t>
      </w:r>
      <w:r w:rsidR="00765956">
        <w:t xml:space="preserve">or is expected to add to NPDES permits </w:t>
      </w:r>
      <w:r w:rsidR="008113AB">
        <w:t xml:space="preserve">is the addition of </w:t>
      </w:r>
      <w:r w:rsidR="00F73636">
        <w:t>intake</w:t>
      </w:r>
      <w:r w:rsidR="00310E22">
        <w:t xml:space="preserve"> </w:t>
      </w:r>
      <w:r w:rsidR="00F73636">
        <w:t>flow monitoring</w:t>
      </w:r>
      <w:r w:rsidR="00A51A3D" w:rsidRPr="00A51A3D">
        <w:t xml:space="preserve"> </w:t>
      </w:r>
      <w:r w:rsidR="00A51A3D">
        <w:t>equipment, where not already installed</w:t>
      </w:r>
      <w:r w:rsidR="007A0D06">
        <w:t>,</w:t>
      </w:r>
      <w:r w:rsidR="00A51A3D">
        <w:t xml:space="preserve"> or an alternative </w:t>
      </w:r>
      <w:r w:rsidR="003F01AB">
        <w:t xml:space="preserve">flow </w:t>
      </w:r>
      <w:r w:rsidR="00A51A3D">
        <w:t>calculation method, to demonstrate effective operation as a closed-cycle</w:t>
      </w:r>
      <w:r w:rsidR="00A51A3D" w:rsidDel="00233EFD">
        <w:t xml:space="preserve"> cooling </w:t>
      </w:r>
      <w:r w:rsidR="00A51A3D">
        <w:t>facility</w:t>
      </w:r>
      <w:r w:rsidR="007D018B">
        <w:t>.</w:t>
      </w:r>
    </w:p>
    <w:p w14:paraId="63808B2B" w14:textId="62942503" w:rsidR="00BE3E3C" w:rsidRDefault="00BE3E3C" w:rsidP="00C942DB">
      <w:pPr>
        <w:spacing w:before="120" w:after="0" w:line="240" w:lineRule="auto"/>
      </w:pPr>
      <w:r w:rsidRPr="006B4FDA">
        <w:t>Plant Gaston’s strategy for 316(b) compliance</w:t>
      </w:r>
      <w:r w:rsidRPr="00CF62DB">
        <w:t xml:space="preserve"> </w:t>
      </w:r>
      <w:r>
        <w:t>includes</w:t>
      </w:r>
      <w:r w:rsidRPr="00CF62DB">
        <w:t xml:space="preserve"> intake </w:t>
      </w:r>
      <w:r>
        <w:t xml:space="preserve">screen </w:t>
      </w:r>
      <w:r w:rsidRPr="00CF62DB">
        <w:t>modifications</w:t>
      </w:r>
      <w:r>
        <w:t xml:space="preserve"> </w:t>
      </w:r>
      <w:r w:rsidRPr="00612388">
        <w:t xml:space="preserve">with </w:t>
      </w:r>
      <w:r>
        <w:t xml:space="preserve">a </w:t>
      </w:r>
      <w:r w:rsidRPr="00612388">
        <w:t>fish friendly return</w:t>
      </w:r>
      <w:r>
        <w:t xml:space="preserve"> system</w:t>
      </w:r>
      <w:r w:rsidR="0026474E" w:rsidRPr="0026474E">
        <w:t xml:space="preserve"> </w:t>
      </w:r>
      <w:r w:rsidR="0026474E" w:rsidRPr="00612388">
        <w:t>to reduce impingement and entrainment of aquatic species</w:t>
      </w:r>
      <w:r>
        <w:t xml:space="preserve">. </w:t>
      </w:r>
      <w:r w:rsidRPr="005A6792">
        <w:t xml:space="preserve">The </w:t>
      </w:r>
      <w:r w:rsidR="008E33C5">
        <w:t xml:space="preserve">final </w:t>
      </w:r>
      <w:r w:rsidRPr="005A6792">
        <w:t xml:space="preserve">316(b) compliance strategy will be </w:t>
      </w:r>
      <w:r w:rsidR="00E71F27">
        <w:t xml:space="preserve">determined through the </w:t>
      </w:r>
      <w:r w:rsidRPr="005A6792">
        <w:t xml:space="preserve">NPDES permit </w:t>
      </w:r>
      <w:r w:rsidR="00E71F27">
        <w:t>process</w:t>
      </w:r>
      <w:r w:rsidRPr="005A6792">
        <w:t xml:space="preserve"> by the Alabama Department of Environmental </w:t>
      </w:r>
      <w:r w:rsidR="00236831">
        <w:t xml:space="preserve">Management </w:t>
      </w:r>
      <w:r w:rsidR="00E71F27">
        <w:t>(“ADEM”)</w:t>
      </w:r>
      <w:r w:rsidRPr="005A6792">
        <w:t>. The timing of the installation is dependent on the permit issuance with a</w:t>
      </w:r>
      <w:r w:rsidR="008E33C5">
        <w:t xml:space="preserve"> current projected</w:t>
      </w:r>
      <w:r w:rsidRPr="005A6792">
        <w:t xml:space="preserve"> </w:t>
      </w:r>
      <w:r w:rsidR="00AD0F39">
        <w:t>compliance</w:t>
      </w:r>
      <w:r w:rsidRPr="005A6792">
        <w:t xml:space="preserve"> date of 202</w:t>
      </w:r>
      <w:r w:rsidR="00DD65B0">
        <w:t>7</w:t>
      </w:r>
      <w:r w:rsidRPr="005A6792">
        <w:t>.</w:t>
      </w:r>
      <w:r w:rsidRPr="00612388">
        <w:t xml:space="preserve"> </w:t>
      </w:r>
    </w:p>
    <w:p w14:paraId="5567CBCF" w14:textId="5BEE829E" w:rsidR="00BE3E3C" w:rsidRPr="003F693A" w:rsidRDefault="00491B92" w:rsidP="00C942DB">
      <w:pPr>
        <w:pStyle w:val="Heading3"/>
        <w:spacing w:before="120"/>
        <w:rPr>
          <w:b/>
          <w:bCs/>
        </w:rPr>
      </w:pPr>
      <w:bookmarkStart w:id="25" w:name="_Toc94197912"/>
      <w:bookmarkStart w:id="26" w:name="_Toc117253450"/>
      <w:bookmarkStart w:id="27" w:name="_Toc130201001"/>
      <w:r>
        <w:rPr>
          <w:b/>
          <w:bCs/>
        </w:rPr>
        <w:t>2</w:t>
      </w:r>
      <w:r w:rsidR="00BE3E3C" w:rsidRPr="003F693A">
        <w:rPr>
          <w:b/>
          <w:bCs/>
        </w:rPr>
        <w:t>.</w:t>
      </w:r>
      <w:r w:rsidR="009F2273" w:rsidRPr="003F693A">
        <w:rPr>
          <w:b/>
          <w:bCs/>
        </w:rPr>
        <w:t>1</w:t>
      </w:r>
      <w:r w:rsidR="00BE3E3C" w:rsidRPr="003F693A">
        <w:rPr>
          <w:b/>
          <w:bCs/>
        </w:rPr>
        <w:t>.</w:t>
      </w:r>
      <w:r w:rsidR="00A138E3">
        <w:rPr>
          <w:b/>
          <w:bCs/>
        </w:rPr>
        <w:t>3</w:t>
      </w:r>
      <w:r w:rsidR="00BE3E3C" w:rsidRPr="003F693A">
        <w:rPr>
          <w:b/>
          <w:bCs/>
        </w:rPr>
        <w:t xml:space="preserve"> </w:t>
      </w:r>
      <w:r w:rsidR="00A727CC" w:rsidRPr="003F693A">
        <w:rPr>
          <w:b/>
          <w:bCs/>
        </w:rPr>
        <w:t>Steam Electric Effluent Limitations Guidelines (40 CFR 423)</w:t>
      </w:r>
      <w:bookmarkEnd w:id="25"/>
      <w:bookmarkEnd w:id="26"/>
      <w:bookmarkEnd w:id="27"/>
    </w:p>
    <w:p w14:paraId="402727CD" w14:textId="031BCA4E" w:rsidR="00BE3E3C" w:rsidRPr="00715D58" w:rsidRDefault="00BE3E3C" w:rsidP="00C942DB">
      <w:pPr>
        <w:spacing w:before="120" w:after="0" w:line="240" w:lineRule="auto"/>
        <w:rPr>
          <w:rFonts w:eastAsia="Arial" w:cs="Arial"/>
          <w:color w:val="000000" w:themeColor="text1"/>
        </w:rPr>
      </w:pPr>
      <w:r w:rsidRPr="4300481F">
        <w:rPr>
          <w:rFonts w:eastAsia="Arial" w:cs="Arial"/>
          <w:color w:val="000000" w:themeColor="text1"/>
        </w:rPr>
        <w:t xml:space="preserve">The effluent limitation guidelines </w:t>
      </w:r>
      <w:r w:rsidR="00D95AAE">
        <w:rPr>
          <w:rFonts w:eastAsia="Arial" w:cs="Arial"/>
          <w:color w:val="000000" w:themeColor="text1"/>
        </w:rPr>
        <w:t xml:space="preserve">(“ELG”) </w:t>
      </w:r>
      <w:r w:rsidRPr="4300481F">
        <w:rPr>
          <w:rFonts w:eastAsia="Arial" w:cs="Arial"/>
          <w:color w:val="000000" w:themeColor="text1"/>
        </w:rPr>
        <w:t xml:space="preserve">for steam electric power generating facilities establish technology-based effluent limitations for </w:t>
      </w:r>
      <w:r w:rsidR="00ED495B">
        <w:rPr>
          <w:rFonts w:eastAsia="Arial" w:cs="Arial"/>
          <w:color w:val="000000" w:themeColor="text1"/>
        </w:rPr>
        <w:t xml:space="preserve">wastewater </w:t>
      </w:r>
      <w:r w:rsidRPr="4300481F">
        <w:rPr>
          <w:rFonts w:eastAsia="Arial" w:cs="Arial"/>
          <w:color w:val="000000" w:themeColor="text1"/>
        </w:rPr>
        <w:t xml:space="preserve">discharges. </w:t>
      </w:r>
      <w:r w:rsidRPr="11BEC75A">
        <w:rPr>
          <w:rFonts w:eastAsia="Arial" w:cs="Arial"/>
          <w:color w:val="000000" w:themeColor="text1"/>
        </w:rPr>
        <w:t>I</w:t>
      </w:r>
      <w:r w:rsidRPr="11BEC75A">
        <w:rPr>
          <w:rFonts w:eastAsia="Arial" w:cs="Arial"/>
        </w:rPr>
        <w:t xml:space="preserve">n November 2015, EPA </w:t>
      </w:r>
      <w:r w:rsidR="00E73C53">
        <w:rPr>
          <w:rFonts w:eastAsia="Arial" w:cs="Arial"/>
        </w:rPr>
        <w:t>updated the steam electric ELG for the first time since 1982</w:t>
      </w:r>
      <w:r w:rsidR="00685EF6">
        <w:rPr>
          <w:rFonts w:eastAsia="Arial" w:cs="Arial"/>
        </w:rPr>
        <w:t xml:space="preserve">, requiring </w:t>
      </w:r>
      <w:r w:rsidR="00256AAB">
        <w:rPr>
          <w:rFonts w:eastAsia="Arial" w:cs="Arial"/>
          <w:szCs w:val="24"/>
        </w:rPr>
        <w:t>compliance as soon as November 1, 2018</w:t>
      </w:r>
      <w:r w:rsidR="00321B1B">
        <w:rPr>
          <w:rFonts w:eastAsia="Arial" w:cs="Arial"/>
          <w:szCs w:val="24"/>
        </w:rPr>
        <w:t>,</w:t>
      </w:r>
      <w:r w:rsidR="00256AAB">
        <w:rPr>
          <w:rFonts w:eastAsia="Arial" w:cs="Arial"/>
          <w:szCs w:val="24"/>
        </w:rPr>
        <w:t xml:space="preserve"> but no later than December 31, 2023, as determined by the NPDES permitting authority</w:t>
      </w:r>
      <w:r w:rsidR="00286182">
        <w:rPr>
          <w:rFonts w:eastAsia="Arial" w:cs="Arial"/>
          <w:szCs w:val="24"/>
        </w:rPr>
        <w:t xml:space="preserve">. </w:t>
      </w:r>
      <w:r w:rsidR="00BC6D92">
        <w:rPr>
          <w:rFonts w:eastAsia="Arial" w:cs="Arial"/>
          <w:szCs w:val="24"/>
        </w:rPr>
        <w:t>T</w:t>
      </w:r>
      <w:r w:rsidR="00315F7E">
        <w:rPr>
          <w:rFonts w:eastAsia="Arial" w:cstheme="minorHAnsi"/>
        </w:rPr>
        <w:t xml:space="preserve">echnology-based </w:t>
      </w:r>
      <w:r w:rsidR="006C13E4">
        <w:rPr>
          <w:rFonts w:eastAsia="Arial" w:cstheme="minorHAnsi"/>
        </w:rPr>
        <w:t>standards affecting coal ash management includ</w:t>
      </w:r>
      <w:r w:rsidR="00286182">
        <w:rPr>
          <w:rFonts w:eastAsia="Arial" w:cstheme="minorHAnsi"/>
        </w:rPr>
        <w:t>ed</w:t>
      </w:r>
      <w:r w:rsidR="006C13E4">
        <w:rPr>
          <w:rFonts w:eastAsia="Arial" w:cstheme="minorHAnsi"/>
        </w:rPr>
        <w:t xml:space="preserve"> </w:t>
      </w:r>
      <w:r w:rsidRPr="0016562A">
        <w:rPr>
          <w:rFonts w:eastAsia="Arial" w:cstheme="minorHAnsi"/>
        </w:rPr>
        <w:t xml:space="preserve">a “zero </w:t>
      </w:r>
      <w:r w:rsidR="00AD5760">
        <w:rPr>
          <w:rFonts w:eastAsia="Arial" w:cstheme="minorHAnsi"/>
        </w:rPr>
        <w:t xml:space="preserve">liquid </w:t>
      </w:r>
      <w:r w:rsidRPr="0016562A">
        <w:rPr>
          <w:rFonts w:eastAsia="Arial" w:cstheme="minorHAnsi"/>
        </w:rPr>
        <w:t>discharge” limit for bottom ash and fly ash transport water</w:t>
      </w:r>
      <w:r w:rsidR="00F67B70">
        <w:rPr>
          <w:rFonts w:eastAsia="Arial" w:cstheme="minorHAnsi"/>
        </w:rPr>
        <w:t xml:space="preserve"> and</w:t>
      </w:r>
      <w:r w:rsidR="00DD7F09">
        <w:rPr>
          <w:rFonts w:eastAsia="Arial" w:cstheme="minorHAnsi"/>
        </w:rPr>
        <w:t xml:space="preserve"> </w:t>
      </w:r>
      <w:r w:rsidR="006C13E4">
        <w:rPr>
          <w:rFonts w:eastAsia="Arial" w:cstheme="minorHAnsi"/>
        </w:rPr>
        <w:t>new limits for direct discharges of “legacy wastewate</w:t>
      </w:r>
      <w:r w:rsidR="00DD7F09">
        <w:rPr>
          <w:rFonts w:eastAsia="Arial" w:cstheme="minorHAnsi"/>
        </w:rPr>
        <w:t>r</w:t>
      </w:r>
      <w:r w:rsidR="004A7D4A">
        <w:rPr>
          <w:rFonts w:eastAsia="Arial" w:cstheme="minorHAnsi"/>
        </w:rPr>
        <w:t>,</w:t>
      </w:r>
      <w:r w:rsidR="006C13E4">
        <w:rPr>
          <w:rFonts w:eastAsia="Arial" w:cstheme="minorHAnsi"/>
        </w:rPr>
        <w:t>”</w:t>
      </w:r>
      <w:r w:rsidR="004A7D4A">
        <w:rPr>
          <w:rFonts w:eastAsia="Arial" w:cstheme="minorHAnsi"/>
        </w:rPr>
        <w:t xml:space="preserve"> </w:t>
      </w:r>
      <w:r w:rsidR="006C13E4">
        <w:rPr>
          <w:rFonts w:eastAsia="Arial" w:cstheme="minorHAnsi"/>
        </w:rPr>
        <w:t>which includes water remaining in ash ponds.</w:t>
      </w:r>
      <w:r w:rsidRPr="0016562A">
        <w:rPr>
          <w:rFonts w:eastAsia="Arial" w:cstheme="minorHAnsi"/>
        </w:rPr>
        <w:t xml:space="preserve"> </w:t>
      </w:r>
      <w:r w:rsidR="00417406">
        <w:rPr>
          <w:rFonts w:eastAsia="Arial" w:cstheme="minorHAnsi"/>
        </w:rPr>
        <w:t>T</w:t>
      </w:r>
      <w:r w:rsidR="00185AF2">
        <w:rPr>
          <w:rFonts w:eastAsia="Arial" w:cstheme="minorHAnsi"/>
        </w:rPr>
        <w:t xml:space="preserve">he 2015 Rule </w:t>
      </w:r>
      <w:r w:rsidR="00417406">
        <w:rPr>
          <w:rFonts w:eastAsia="Arial" w:cstheme="minorHAnsi"/>
        </w:rPr>
        <w:t xml:space="preserve">also </w:t>
      </w:r>
      <w:r w:rsidR="000606D1">
        <w:rPr>
          <w:rFonts w:eastAsia="Arial" w:cstheme="minorHAnsi"/>
        </w:rPr>
        <w:t xml:space="preserve">distinguished combustion residual leachate (wastewater collected from lined landfills) from low volume wastewater </w:t>
      </w:r>
      <w:r w:rsidR="0022331F">
        <w:rPr>
          <w:rFonts w:eastAsia="Arial" w:cstheme="minorHAnsi"/>
        </w:rPr>
        <w:t xml:space="preserve">and </w:t>
      </w:r>
      <w:r w:rsidR="00185AF2">
        <w:rPr>
          <w:rFonts w:eastAsia="Arial" w:cstheme="minorHAnsi"/>
        </w:rPr>
        <w:t xml:space="preserve">set </w:t>
      </w:r>
      <w:r w:rsidR="00417406">
        <w:rPr>
          <w:rFonts w:eastAsia="Arial" w:cstheme="minorHAnsi"/>
        </w:rPr>
        <w:t xml:space="preserve">mercury, arsenic, selenium, and nitrate-nitrite </w:t>
      </w:r>
      <w:r w:rsidR="00185AF2">
        <w:rPr>
          <w:rFonts w:eastAsia="Arial" w:cstheme="minorHAnsi"/>
        </w:rPr>
        <w:t xml:space="preserve">limits for </w:t>
      </w:r>
      <w:r w:rsidR="00CC6CDF">
        <w:rPr>
          <w:rFonts w:eastAsia="Arial" w:cstheme="minorHAnsi"/>
        </w:rPr>
        <w:t>scrubber</w:t>
      </w:r>
      <w:r w:rsidR="00185AF2">
        <w:rPr>
          <w:rFonts w:eastAsia="Arial" w:cstheme="minorHAnsi"/>
        </w:rPr>
        <w:t xml:space="preserve"> wastewater. The rule e</w:t>
      </w:r>
      <w:r w:rsidR="00185AF2" w:rsidRPr="00185AF2">
        <w:rPr>
          <w:rFonts w:eastAsia="Arial" w:cstheme="minorHAnsi"/>
        </w:rPr>
        <w:t>stablished a voluntary incentive program (</w:t>
      </w:r>
      <w:r w:rsidR="0045195E">
        <w:rPr>
          <w:rFonts w:eastAsia="Arial" w:cstheme="minorHAnsi"/>
        </w:rPr>
        <w:t>“</w:t>
      </w:r>
      <w:r w:rsidR="00185AF2" w:rsidRPr="00185AF2">
        <w:rPr>
          <w:rFonts w:eastAsia="Arial" w:cstheme="minorHAnsi"/>
        </w:rPr>
        <w:t>VIP</w:t>
      </w:r>
      <w:r w:rsidR="0045195E">
        <w:rPr>
          <w:rFonts w:eastAsia="Arial" w:cstheme="minorHAnsi"/>
        </w:rPr>
        <w:t>”</w:t>
      </w:r>
      <w:r w:rsidR="00185AF2" w:rsidRPr="00185AF2">
        <w:rPr>
          <w:rFonts w:eastAsia="Arial" w:cstheme="minorHAnsi"/>
        </w:rPr>
        <w:t xml:space="preserve">) for </w:t>
      </w:r>
      <w:r w:rsidR="00340C2F">
        <w:rPr>
          <w:rFonts w:eastAsia="Arial" w:cstheme="minorHAnsi"/>
        </w:rPr>
        <w:t xml:space="preserve">scrubber </w:t>
      </w:r>
      <w:r w:rsidR="00185AF2" w:rsidRPr="00185AF2">
        <w:rPr>
          <w:rFonts w:eastAsia="Arial" w:cstheme="minorHAnsi"/>
        </w:rPr>
        <w:t xml:space="preserve">wastewater providing </w:t>
      </w:r>
      <w:r w:rsidR="007C6733">
        <w:rPr>
          <w:rFonts w:eastAsia="Arial" w:cstheme="minorHAnsi"/>
        </w:rPr>
        <w:t xml:space="preserve">a later compliance deadline of </w:t>
      </w:r>
      <w:r w:rsidR="004A75CB">
        <w:rPr>
          <w:rFonts w:eastAsia="Arial" w:cstheme="minorHAnsi"/>
        </w:rPr>
        <w:t xml:space="preserve">December 31, 2023, </w:t>
      </w:r>
      <w:r w:rsidR="00185AF2" w:rsidRPr="00185AF2">
        <w:rPr>
          <w:rFonts w:eastAsia="Arial" w:cstheme="minorHAnsi"/>
        </w:rPr>
        <w:t xml:space="preserve">for plants </w:t>
      </w:r>
      <w:r w:rsidR="00B3282D">
        <w:rPr>
          <w:rFonts w:eastAsia="Arial" w:cstheme="minorHAnsi"/>
        </w:rPr>
        <w:t>able t</w:t>
      </w:r>
      <w:r w:rsidR="00185AF2" w:rsidRPr="00185AF2">
        <w:rPr>
          <w:rFonts w:eastAsia="Arial" w:cstheme="minorHAnsi"/>
        </w:rPr>
        <w:t xml:space="preserve">o meet more stringent </w:t>
      </w:r>
      <w:r w:rsidR="00CC6CDF">
        <w:rPr>
          <w:rFonts w:eastAsia="Arial" w:cstheme="minorHAnsi"/>
        </w:rPr>
        <w:t>scrubber</w:t>
      </w:r>
      <w:r w:rsidR="00185AF2" w:rsidRPr="00185AF2">
        <w:rPr>
          <w:rFonts w:eastAsia="Arial" w:cstheme="minorHAnsi"/>
        </w:rPr>
        <w:t xml:space="preserve"> wastewater limits based on </w:t>
      </w:r>
      <w:r w:rsidR="00F0252B">
        <w:rPr>
          <w:rFonts w:eastAsia="Arial" w:cstheme="minorHAnsi"/>
        </w:rPr>
        <w:t xml:space="preserve">advanced </w:t>
      </w:r>
      <w:r w:rsidR="00185AF2" w:rsidRPr="00185AF2">
        <w:rPr>
          <w:rFonts w:eastAsia="Arial" w:cstheme="minorHAnsi"/>
        </w:rPr>
        <w:t>evaporation technology.</w:t>
      </w:r>
      <w:r w:rsidR="00185AF2">
        <w:rPr>
          <w:rFonts w:eastAsia="Arial" w:cstheme="minorHAnsi"/>
        </w:rPr>
        <w:t xml:space="preserve"> </w:t>
      </w:r>
    </w:p>
    <w:p w14:paraId="3CA968A9" w14:textId="5AD4CC25" w:rsidR="00BE3E3C" w:rsidRPr="00E654CE" w:rsidRDefault="00577F16" w:rsidP="00C942DB">
      <w:pPr>
        <w:spacing w:before="120" w:after="0" w:line="240" w:lineRule="auto"/>
        <w:rPr>
          <w:rFonts w:eastAsia="Arial" w:cs="Arial"/>
          <w:color w:val="000000" w:themeColor="text1"/>
        </w:rPr>
      </w:pPr>
      <w:r>
        <w:rPr>
          <w:rFonts w:eastAsia="Arial" w:cs="Arial"/>
        </w:rPr>
        <w:t>With pending</w:t>
      </w:r>
      <w:r w:rsidR="00CD5DF3">
        <w:rPr>
          <w:rFonts w:eastAsia="Arial" w:cs="Arial"/>
        </w:rPr>
        <w:t xml:space="preserve"> </w:t>
      </w:r>
      <w:r w:rsidR="00F16118">
        <w:rPr>
          <w:rFonts w:eastAsia="Arial" w:cs="Arial"/>
        </w:rPr>
        <w:t xml:space="preserve">legal challenges and petitions for reconsideration, </w:t>
      </w:r>
      <w:r w:rsidR="00050D0C">
        <w:rPr>
          <w:rFonts w:eastAsia="Arial" w:cs="Arial"/>
        </w:rPr>
        <w:t>in 2017</w:t>
      </w:r>
      <w:r w:rsidR="008C666F">
        <w:rPr>
          <w:rFonts w:eastAsia="Arial" w:cs="Arial"/>
        </w:rPr>
        <w:t>,</w:t>
      </w:r>
      <w:r w:rsidR="00050D0C">
        <w:rPr>
          <w:rFonts w:eastAsia="Arial" w:cs="Arial"/>
        </w:rPr>
        <w:t xml:space="preserve"> </w:t>
      </w:r>
      <w:r w:rsidR="00BE3E3C">
        <w:t xml:space="preserve">the EPA </w:t>
      </w:r>
      <w:r w:rsidR="008C666F">
        <w:t>A</w:t>
      </w:r>
      <w:r w:rsidR="00BE3E3C">
        <w:t xml:space="preserve">dministrator </w:t>
      </w:r>
      <w:r w:rsidR="00B651B1">
        <w:t xml:space="preserve">took actions that </w:t>
      </w:r>
      <w:r w:rsidR="00BE3E3C" w:rsidRPr="37612734">
        <w:rPr>
          <w:rFonts w:eastAsia="Arial" w:cs="Arial"/>
        </w:rPr>
        <w:t>push</w:t>
      </w:r>
      <w:r w:rsidR="00B651B1">
        <w:rPr>
          <w:rFonts w:eastAsia="Arial" w:cs="Arial"/>
        </w:rPr>
        <w:t>ed</w:t>
      </w:r>
      <w:r w:rsidR="00BE3E3C" w:rsidRPr="37612734">
        <w:rPr>
          <w:rFonts w:eastAsia="Arial" w:cs="Arial"/>
        </w:rPr>
        <w:t xml:space="preserve"> out the earliest compliance dates </w:t>
      </w:r>
      <w:r w:rsidR="003849FE">
        <w:rPr>
          <w:rFonts w:eastAsia="Arial" w:cs="Arial"/>
        </w:rPr>
        <w:t xml:space="preserve">specifically </w:t>
      </w:r>
      <w:r w:rsidR="00BE3E3C" w:rsidRPr="37612734">
        <w:rPr>
          <w:rFonts w:eastAsia="Arial" w:cs="Arial"/>
        </w:rPr>
        <w:t xml:space="preserve">for bottom ash transport water and </w:t>
      </w:r>
      <w:r w:rsidR="00856800">
        <w:rPr>
          <w:rFonts w:eastAsia="Arial" w:cs="Arial"/>
        </w:rPr>
        <w:t>scrubber</w:t>
      </w:r>
      <w:r w:rsidR="00BE3E3C" w:rsidRPr="37612734">
        <w:rPr>
          <w:rFonts w:eastAsia="Arial" w:cs="Arial"/>
        </w:rPr>
        <w:t xml:space="preserve"> wastewater </w:t>
      </w:r>
      <w:r w:rsidR="004C0BBB">
        <w:rPr>
          <w:rFonts w:eastAsia="Arial" w:cs="Arial"/>
        </w:rPr>
        <w:t>by two years to</w:t>
      </w:r>
      <w:r w:rsidR="00BE3E3C" w:rsidRPr="37612734">
        <w:rPr>
          <w:rFonts w:eastAsia="Arial" w:cs="Arial"/>
        </w:rPr>
        <w:t xml:space="preserve"> November 1, 2020, </w:t>
      </w:r>
      <w:r w:rsidR="004C0BBB">
        <w:rPr>
          <w:rFonts w:eastAsia="Arial" w:cs="Arial"/>
        </w:rPr>
        <w:t xml:space="preserve">to provide time for </w:t>
      </w:r>
      <w:r w:rsidR="00BE3E3C" w:rsidRPr="37612734">
        <w:rPr>
          <w:rFonts w:eastAsia="Arial" w:cs="Arial"/>
        </w:rPr>
        <w:t xml:space="preserve">EPA to reconsider the </w:t>
      </w:r>
      <w:r w:rsidR="004165F1">
        <w:rPr>
          <w:rFonts w:eastAsia="Arial" w:cs="Arial"/>
        </w:rPr>
        <w:t>standards for those waste</w:t>
      </w:r>
      <w:r w:rsidR="00131F9C">
        <w:rPr>
          <w:rFonts w:eastAsia="Arial" w:cs="Arial"/>
        </w:rPr>
        <w:t xml:space="preserve"> </w:t>
      </w:r>
      <w:r w:rsidR="004165F1">
        <w:rPr>
          <w:rFonts w:eastAsia="Arial" w:cs="Arial"/>
        </w:rPr>
        <w:t>streams.</w:t>
      </w:r>
      <w:r w:rsidR="00BE3E3C" w:rsidRPr="37612734">
        <w:rPr>
          <w:rFonts w:eastAsia="Arial" w:cs="Arial"/>
        </w:rPr>
        <w:t xml:space="preserve"> </w:t>
      </w:r>
      <w:r w:rsidR="004D0A26">
        <w:rPr>
          <w:rFonts w:eastAsia="Arial" w:cs="Arial"/>
        </w:rPr>
        <w:t>In addition, i</w:t>
      </w:r>
      <w:r w:rsidR="00BE3E3C" w:rsidRPr="405B4DCE">
        <w:rPr>
          <w:rFonts w:eastAsia="Arial" w:cs="Arial"/>
          <w:color w:val="000000" w:themeColor="text1"/>
        </w:rPr>
        <w:t>n April 2019, the U.S. Court of Appeals for the Fifth Circuit vacat</w:t>
      </w:r>
      <w:r w:rsidR="00995DF7">
        <w:rPr>
          <w:rFonts w:eastAsia="Arial" w:cs="Arial"/>
          <w:color w:val="000000" w:themeColor="text1"/>
        </w:rPr>
        <w:t>ed</w:t>
      </w:r>
      <w:r w:rsidR="00BE3E3C" w:rsidRPr="405B4DCE">
        <w:rPr>
          <w:rFonts w:eastAsia="Arial" w:cs="Arial"/>
          <w:color w:val="000000" w:themeColor="text1"/>
        </w:rPr>
        <w:t xml:space="preserve"> aspects of the 2015 Rule </w:t>
      </w:r>
      <w:r w:rsidR="001D1FE2">
        <w:rPr>
          <w:rFonts w:eastAsia="Arial" w:cs="Arial"/>
          <w:color w:val="000000" w:themeColor="text1"/>
        </w:rPr>
        <w:t>related</w:t>
      </w:r>
      <w:r w:rsidR="00BE3E3C" w:rsidRPr="405B4DCE">
        <w:rPr>
          <w:rFonts w:eastAsia="Arial" w:cs="Arial"/>
          <w:color w:val="000000" w:themeColor="text1"/>
        </w:rPr>
        <w:t xml:space="preserve"> to legacy wastewater and combustion residual leachate</w:t>
      </w:r>
      <w:r w:rsidR="005C0CEA">
        <w:rPr>
          <w:rFonts w:eastAsia="Arial" w:cs="Arial"/>
          <w:color w:val="000000" w:themeColor="text1"/>
        </w:rPr>
        <w:t xml:space="preserve">, </w:t>
      </w:r>
      <w:r w:rsidR="00332869">
        <w:rPr>
          <w:rFonts w:eastAsia="Arial" w:cs="Arial"/>
          <w:color w:val="000000" w:themeColor="text1"/>
        </w:rPr>
        <w:t xml:space="preserve">determining that EPA should have considered more advanced technology in setting the standards and </w:t>
      </w:r>
      <w:r w:rsidR="005C0CEA">
        <w:rPr>
          <w:rFonts w:eastAsia="Arial" w:cs="Arial"/>
          <w:color w:val="000000" w:themeColor="text1"/>
        </w:rPr>
        <w:t>requiring EPA to consider revising</w:t>
      </w:r>
      <w:r w:rsidR="00332869">
        <w:rPr>
          <w:rFonts w:eastAsia="Arial" w:cs="Arial"/>
          <w:color w:val="000000" w:themeColor="text1"/>
        </w:rPr>
        <w:t xml:space="preserve"> these</w:t>
      </w:r>
      <w:r w:rsidR="005C0CEA">
        <w:rPr>
          <w:rFonts w:eastAsia="Arial" w:cs="Arial"/>
          <w:color w:val="000000" w:themeColor="text1"/>
        </w:rPr>
        <w:t xml:space="preserve"> portions of the rule</w:t>
      </w:r>
      <w:r w:rsidR="00BE3E3C" w:rsidRPr="405B4DCE">
        <w:rPr>
          <w:rFonts w:eastAsia="Arial" w:cs="Arial"/>
          <w:color w:val="000000" w:themeColor="text1"/>
        </w:rPr>
        <w:t xml:space="preserve">.  </w:t>
      </w:r>
    </w:p>
    <w:p w14:paraId="5BE22E50" w14:textId="7A5CC2DC" w:rsidR="00F42A14" w:rsidRDefault="00BE3E3C" w:rsidP="00C942DB">
      <w:pPr>
        <w:spacing w:before="120" w:after="0" w:line="240" w:lineRule="auto"/>
        <w:rPr>
          <w:rFonts w:eastAsia="Arial" w:cstheme="minorHAnsi"/>
          <w:color w:val="000000" w:themeColor="text1"/>
        </w:rPr>
      </w:pPr>
      <w:r w:rsidRPr="11BEC75A">
        <w:rPr>
          <w:rFonts w:eastAsia="Arial" w:cs="Arial"/>
          <w:color w:val="000000" w:themeColor="text1"/>
        </w:rPr>
        <w:t>In October 2020, EPA finalized</w:t>
      </w:r>
      <w:r w:rsidR="009E0A24">
        <w:rPr>
          <w:rFonts w:eastAsia="Arial" w:cs="Arial"/>
          <w:color w:val="000000" w:themeColor="text1"/>
        </w:rPr>
        <w:t xml:space="preserve"> revisions to the ELGs</w:t>
      </w:r>
      <w:r w:rsidRPr="11BEC75A">
        <w:rPr>
          <w:rFonts w:eastAsia="Arial" w:cs="Arial"/>
          <w:color w:val="000000" w:themeColor="text1"/>
        </w:rPr>
        <w:t xml:space="preserve"> </w:t>
      </w:r>
      <w:r w:rsidR="00F65F60">
        <w:rPr>
          <w:rFonts w:eastAsia="Arial" w:cs="Arial"/>
          <w:color w:val="000000" w:themeColor="text1"/>
        </w:rPr>
        <w:t xml:space="preserve">for steam electric power generating facilities </w:t>
      </w:r>
      <w:r w:rsidR="009E0A24">
        <w:rPr>
          <w:rFonts w:eastAsia="Arial" w:cs="Arial"/>
          <w:color w:val="000000" w:themeColor="text1"/>
        </w:rPr>
        <w:t>(“</w:t>
      </w:r>
      <w:r>
        <w:rPr>
          <w:rFonts w:eastAsia="Arial" w:cs="Arial"/>
          <w:color w:val="000000" w:themeColor="text1"/>
        </w:rPr>
        <w:t xml:space="preserve">ELG </w:t>
      </w:r>
      <w:r w:rsidRPr="11BEC75A">
        <w:rPr>
          <w:rFonts w:eastAsia="Arial" w:cs="Arial"/>
          <w:color w:val="000000" w:themeColor="text1"/>
        </w:rPr>
        <w:t>Reconsideration Rule</w:t>
      </w:r>
      <w:r w:rsidR="009E0A24">
        <w:rPr>
          <w:rFonts w:eastAsia="Arial" w:cs="Arial"/>
          <w:color w:val="000000" w:themeColor="text1"/>
        </w:rPr>
        <w:t>”)</w:t>
      </w:r>
      <w:r w:rsidRPr="11BEC75A">
        <w:rPr>
          <w:rFonts w:eastAsia="Arial" w:cs="Arial"/>
          <w:color w:val="000000" w:themeColor="text1"/>
        </w:rPr>
        <w:t xml:space="preserve"> for </w:t>
      </w:r>
      <w:r w:rsidR="00963BF0">
        <w:rPr>
          <w:rFonts w:eastAsia="Arial" w:cs="Arial"/>
          <w:color w:val="000000" w:themeColor="text1"/>
        </w:rPr>
        <w:t>scrubber</w:t>
      </w:r>
      <w:r w:rsidR="009E0A24" w:rsidRPr="11BEC75A">
        <w:rPr>
          <w:rFonts w:eastAsia="Arial" w:cs="Arial"/>
          <w:color w:val="000000" w:themeColor="text1"/>
        </w:rPr>
        <w:t xml:space="preserve"> wastewater and bottom ash transport water</w:t>
      </w:r>
      <w:r w:rsidR="0059229D">
        <w:rPr>
          <w:rFonts w:eastAsia="Arial" w:cs="Arial"/>
          <w:color w:val="000000" w:themeColor="text1"/>
        </w:rPr>
        <w:t>,</w:t>
      </w:r>
      <w:r w:rsidRPr="11BEC75A">
        <w:rPr>
          <w:rFonts w:eastAsia="Arial" w:cs="Arial"/>
          <w:color w:val="000000" w:themeColor="text1"/>
        </w:rPr>
        <w:t xml:space="preserve"> provid</w:t>
      </w:r>
      <w:r w:rsidR="0059229D">
        <w:rPr>
          <w:rFonts w:eastAsia="Arial" w:cs="Arial"/>
          <w:color w:val="000000" w:themeColor="text1"/>
        </w:rPr>
        <w:t>ing</w:t>
      </w:r>
      <w:r w:rsidRPr="11BEC75A">
        <w:rPr>
          <w:rFonts w:eastAsia="Arial" w:cs="Arial"/>
          <w:color w:val="000000" w:themeColor="text1"/>
        </w:rPr>
        <w:t xml:space="preserve"> a two-year extension of compliance time frames </w:t>
      </w:r>
      <w:r w:rsidR="00F42A14">
        <w:rPr>
          <w:rFonts w:eastAsia="Arial" w:cs="Arial"/>
          <w:color w:val="000000" w:themeColor="text1"/>
        </w:rPr>
        <w:t>to no later than December 31, 2025</w:t>
      </w:r>
      <w:r w:rsidR="00031602">
        <w:rPr>
          <w:rFonts w:eastAsia="Arial" w:cs="Arial"/>
          <w:color w:val="000000" w:themeColor="text1"/>
        </w:rPr>
        <w:t>,</w:t>
      </w:r>
      <w:r w:rsidR="00F42A14">
        <w:rPr>
          <w:rFonts w:eastAsia="Arial" w:cs="Arial"/>
          <w:color w:val="000000" w:themeColor="text1"/>
        </w:rPr>
        <w:t xml:space="preserve"> </w:t>
      </w:r>
      <w:r w:rsidR="009C7996">
        <w:rPr>
          <w:rFonts w:eastAsia="Arial" w:cs="Arial"/>
          <w:color w:val="000000" w:themeColor="text1"/>
        </w:rPr>
        <w:t>for these waste streams</w:t>
      </w:r>
      <w:r w:rsidRPr="11BEC75A">
        <w:rPr>
          <w:rFonts w:eastAsia="Arial" w:cs="Arial"/>
        </w:rPr>
        <w:t xml:space="preserve">. </w:t>
      </w:r>
      <w:r w:rsidR="00C94565" w:rsidRPr="00C425B0">
        <w:rPr>
          <w:rFonts w:eastAsia="Arial" w:cstheme="minorHAnsi"/>
          <w:color w:val="000000" w:themeColor="text1"/>
        </w:rPr>
        <w:t xml:space="preserve">For </w:t>
      </w:r>
      <w:r w:rsidR="00C94565" w:rsidRPr="00C425B0">
        <w:rPr>
          <w:rFonts w:eastAsia="Arial" w:cstheme="minorHAnsi"/>
        </w:rPr>
        <w:t xml:space="preserve">bottom ash transport water, the </w:t>
      </w:r>
      <w:r w:rsidR="00C94565">
        <w:rPr>
          <w:rFonts w:eastAsia="Arial" w:cstheme="minorHAnsi"/>
        </w:rPr>
        <w:t>r</w:t>
      </w:r>
      <w:r w:rsidR="00C94565" w:rsidRPr="00C425B0">
        <w:rPr>
          <w:rFonts w:eastAsia="Arial" w:cstheme="minorHAnsi"/>
        </w:rPr>
        <w:t xml:space="preserve">ule established </w:t>
      </w:r>
      <w:r w:rsidR="00C94565">
        <w:rPr>
          <w:rFonts w:eastAsia="Arial" w:cstheme="minorHAnsi"/>
        </w:rPr>
        <w:t>a case-by-case permitting mechanism to recognize that some systems may require a limited purge rate, rather than a blanket no discharge limit as established in the 2015 Rule.</w:t>
      </w:r>
      <w:r w:rsidR="0059229D">
        <w:rPr>
          <w:rFonts w:eastAsia="Arial" w:cstheme="minorHAnsi"/>
          <w:color w:val="000000" w:themeColor="text1"/>
        </w:rPr>
        <w:t xml:space="preserve"> </w:t>
      </w:r>
      <w:r w:rsidRPr="00C425B0">
        <w:rPr>
          <w:rFonts w:eastAsia="Arial" w:cstheme="minorHAnsi"/>
          <w:color w:val="000000" w:themeColor="text1"/>
        </w:rPr>
        <w:t xml:space="preserve">For </w:t>
      </w:r>
      <w:r w:rsidR="00963BF0">
        <w:rPr>
          <w:rFonts w:eastAsia="Arial" w:cstheme="minorHAnsi"/>
          <w:color w:val="000000" w:themeColor="text1"/>
        </w:rPr>
        <w:t>scrubber</w:t>
      </w:r>
      <w:r w:rsidRPr="00C425B0">
        <w:rPr>
          <w:rFonts w:eastAsia="Arial" w:cstheme="minorHAnsi"/>
        </w:rPr>
        <w:t xml:space="preserve"> wastewater, the </w:t>
      </w:r>
      <w:r w:rsidR="0052476A">
        <w:rPr>
          <w:rFonts w:eastAsia="Arial" w:cstheme="minorHAnsi"/>
        </w:rPr>
        <w:t xml:space="preserve">ELG Reconsideration </w:t>
      </w:r>
      <w:r w:rsidRPr="00C425B0">
        <w:rPr>
          <w:rFonts w:eastAsia="Arial" w:cstheme="minorHAnsi"/>
        </w:rPr>
        <w:t xml:space="preserve">Rule established </w:t>
      </w:r>
      <w:r w:rsidR="008D7454">
        <w:rPr>
          <w:rFonts w:eastAsia="Arial" w:cstheme="minorHAnsi"/>
        </w:rPr>
        <w:t xml:space="preserve">standards based on wastewater treatment technology </w:t>
      </w:r>
      <w:r w:rsidR="009820D4">
        <w:rPr>
          <w:rFonts w:eastAsia="Arial" w:cstheme="minorHAnsi"/>
        </w:rPr>
        <w:t xml:space="preserve">consisting of a </w:t>
      </w:r>
      <w:r w:rsidRPr="00C425B0">
        <w:rPr>
          <w:rFonts w:eastAsia="Arial" w:cstheme="minorHAnsi"/>
        </w:rPr>
        <w:t>combination of</w:t>
      </w:r>
      <w:r w:rsidR="005E2AAC">
        <w:rPr>
          <w:rFonts w:eastAsia="Arial" w:cstheme="minorHAnsi"/>
        </w:rPr>
        <w:t xml:space="preserve"> </w:t>
      </w:r>
      <w:r w:rsidRPr="00C425B0">
        <w:rPr>
          <w:rFonts w:eastAsia="Arial" w:cstheme="minorHAnsi"/>
        </w:rPr>
        <w:t>chemical precipitation followed by biological treatment (also referred to as physical</w:t>
      </w:r>
      <w:r w:rsidR="00F22E1A">
        <w:rPr>
          <w:rFonts w:eastAsia="Arial" w:cstheme="minorHAnsi"/>
        </w:rPr>
        <w:t>-</w:t>
      </w:r>
      <w:r w:rsidRPr="00C425B0">
        <w:rPr>
          <w:rFonts w:eastAsia="Arial" w:cstheme="minorHAnsi"/>
        </w:rPr>
        <w:t>chemical</w:t>
      </w:r>
      <w:r w:rsidR="00F22E1A">
        <w:rPr>
          <w:rFonts w:eastAsia="Arial" w:cstheme="minorHAnsi"/>
        </w:rPr>
        <w:t>-</w:t>
      </w:r>
      <w:r w:rsidRPr="00C425B0">
        <w:rPr>
          <w:rFonts w:eastAsia="Arial" w:cstheme="minorHAnsi"/>
        </w:rPr>
        <w:t>biological treatment or “phys</w:t>
      </w:r>
      <w:r w:rsidR="00BF1A15">
        <w:rPr>
          <w:rFonts w:eastAsia="Arial" w:cstheme="minorHAnsi"/>
        </w:rPr>
        <w:t>-</w:t>
      </w:r>
      <w:r w:rsidRPr="00C425B0">
        <w:rPr>
          <w:rFonts w:eastAsia="Arial" w:cstheme="minorHAnsi"/>
        </w:rPr>
        <w:t>chem</w:t>
      </w:r>
      <w:r w:rsidR="00BF1A15">
        <w:rPr>
          <w:rFonts w:eastAsia="Arial" w:cstheme="minorHAnsi"/>
        </w:rPr>
        <w:t>-</w:t>
      </w:r>
      <w:r w:rsidRPr="00C425B0">
        <w:rPr>
          <w:rFonts w:eastAsia="Arial" w:cstheme="minorHAnsi"/>
        </w:rPr>
        <w:t>bio”)</w:t>
      </w:r>
      <w:r w:rsidR="00054A12">
        <w:rPr>
          <w:rFonts w:eastAsia="Arial" w:cstheme="minorHAnsi"/>
        </w:rPr>
        <w:t>.</w:t>
      </w:r>
      <w:r w:rsidRPr="00C425B0">
        <w:rPr>
          <w:rFonts w:eastAsia="Arial" w:cstheme="minorHAnsi"/>
        </w:rPr>
        <w:t xml:space="preserve"> As compared to the 2015 Rule, the </w:t>
      </w:r>
      <w:r w:rsidR="006E6813">
        <w:rPr>
          <w:rFonts w:eastAsia="Arial" w:cstheme="minorHAnsi"/>
        </w:rPr>
        <w:t>scrubber</w:t>
      </w:r>
      <w:r w:rsidR="00C82053">
        <w:rPr>
          <w:rFonts w:eastAsia="Arial" w:cstheme="minorHAnsi"/>
        </w:rPr>
        <w:t xml:space="preserve"> wastewater </w:t>
      </w:r>
      <w:r w:rsidRPr="00C425B0">
        <w:rPr>
          <w:rFonts w:eastAsia="Arial" w:cstheme="minorHAnsi"/>
        </w:rPr>
        <w:t>limits were slightly less stringent for arsenic and selenium and significantly more stringent for mercury and nitrate-nitrite.</w:t>
      </w:r>
      <w:r w:rsidRPr="00C425B0">
        <w:rPr>
          <w:rFonts w:eastAsia="Arial" w:cstheme="minorHAnsi"/>
          <w:color w:val="000000" w:themeColor="text1"/>
        </w:rPr>
        <w:t xml:space="preserve"> </w:t>
      </w:r>
    </w:p>
    <w:p w14:paraId="6631113D" w14:textId="6BE0029A" w:rsidR="00BE3E3C" w:rsidRPr="002A7CDC" w:rsidRDefault="009820D4" w:rsidP="00C942DB">
      <w:pPr>
        <w:spacing w:before="120" w:after="0" w:line="240" w:lineRule="auto"/>
        <w:rPr>
          <w:rFonts w:eastAsia="Arial" w:cstheme="minorHAnsi"/>
          <w:color w:val="000000" w:themeColor="text1"/>
        </w:rPr>
      </w:pPr>
      <w:r>
        <w:rPr>
          <w:rFonts w:eastAsia="Arial" w:cstheme="minorHAnsi"/>
          <w:color w:val="000000" w:themeColor="text1"/>
        </w:rPr>
        <w:t>T</w:t>
      </w:r>
      <w:r w:rsidR="00BE3E3C" w:rsidRPr="00C425B0">
        <w:rPr>
          <w:rFonts w:eastAsia="Arial" w:cstheme="minorHAnsi"/>
          <w:color w:val="000000" w:themeColor="text1"/>
        </w:rPr>
        <w:t xml:space="preserve">he </w:t>
      </w:r>
      <w:r w:rsidR="005207F5">
        <w:rPr>
          <w:rFonts w:eastAsia="Arial" w:cstheme="minorHAnsi"/>
          <w:color w:val="000000" w:themeColor="text1"/>
        </w:rPr>
        <w:t xml:space="preserve">ELG Reconsideration </w:t>
      </w:r>
      <w:r w:rsidR="00BE3E3C" w:rsidRPr="00C425B0">
        <w:rPr>
          <w:rFonts w:eastAsia="Arial" w:cstheme="minorHAnsi"/>
          <w:color w:val="000000" w:themeColor="text1"/>
        </w:rPr>
        <w:t xml:space="preserve">Rule </w:t>
      </w:r>
      <w:r w:rsidR="00A54BC0">
        <w:rPr>
          <w:rFonts w:eastAsia="Arial" w:cstheme="minorHAnsi"/>
          <w:color w:val="000000" w:themeColor="text1"/>
        </w:rPr>
        <w:t xml:space="preserve">also </w:t>
      </w:r>
      <w:r w:rsidR="00787605">
        <w:rPr>
          <w:rFonts w:eastAsia="Arial" w:cstheme="minorHAnsi"/>
          <w:color w:val="000000" w:themeColor="text1"/>
        </w:rPr>
        <w:t xml:space="preserve">revised or </w:t>
      </w:r>
      <w:r w:rsidR="00A54BC0" w:rsidRPr="00C425B0">
        <w:rPr>
          <w:rFonts w:eastAsia="Arial" w:cstheme="minorHAnsi"/>
          <w:color w:val="000000" w:themeColor="text1"/>
        </w:rPr>
        <w:t>established</w:t>
      </w:r>
      <w:r w:rsidR="00A54BC0" w:rsidRPr="00C425B0">
        <w:rPr>
          <w:rFonts w:eastAsia="Arial" w:cstheme="minorHAnsi"/>
        </w:rPr>
        <w:t xml:space="preserve"> subcategories with tailored limits and applicability dates</w:t>
      </w:r>
      <w:r w:rsidR="00A54BC0">
        <w:rPr>
          <w:rFonts w:eastAsia="Arial" w:cstheme="minorHAnsi"/>
        </w:rPr>
        <w:t xml:space="preserve">. </w:t>
      </w:r>
      <w:r w:rsidR="00787605">
        <w:rPr>
          <w:rFonts w:eastAsia="Arial" w:cstheme="minorHAnsi"/>
        </w:rPr>
        <w:t xml:space="preserve">The </w:t>
      </w:r>
      <w:r w:rsidR="00BE3E3C" w:rsidRPr="00C425B0">
        <w:rPr>
          <w:rFonts w:eastAsia="Arial" w:cstheme="minorHAnsi"/>
          <w:color w:val="000000" w:themeColor="text1"/>
        </w:rPr>
        <w:t xml:space="preserve">revised </w:t>
      </w:r>
      <w:r w:rsidR="00BE3E3C" w:rsidRPr="00C425B0">
        <w:rPr>
          <w:rFonts w:eastAsia="Arial" w:cstheme="minorHAnsi"/>
        </w:rPr>
        <w:t>VIP</w:t>
      </w:r>
      <w:r w:rsidR="00E41D66">
        <w:rPr>
          <w:rFonts w:eastAsia="Arial" w:cstheme="minorHAnsi"/>
        </w:rPr>
        <w:t xml:space="preserve"> </w:t>
      </w:r>
      <w:r w:rsidR="00BE3E3C" w:rsidRPr="00C425B0">
        <w:rPr>
          <w:rFonts w:eastAsia="Arial" w:cstheme="minorHAnsi"/>
        </w:rPr>
        <w:t>subcategory</w:t>
      </w:r>
      <w:r w:rsidR="006C1029">
        <w:rPr>
          <w:rFonts w:eastAsia="Arial" w:cstheme="minorHAnsi"/>
        </w:rPr>
        <w:t xml:space="preserve"> for </w:t>
      </w:r>
      <w:r w:rsidR="00B0400D">
        <w:rPr>
          <w:rFonts w:eastAsia="Arial" w:cstheme="minorHAnsi"/>
        </w:rPr>
        <w:t>scrubber</w:t>
      </w:r>
      <w:r w:rsidR="006C1029">
        <w:rPr>
          <w:rFonts w:eastAsia="Arial" w:cstheme="minorHAnsi"/>
        </w:rPr>
        <w:t xml:space="preserve"> wastewater</w:t>
      </w:r>
      <w:r w:rsidR="00BE3E3C" w:rsidRPr="00C425B0">
        <w:rPr>
          <w:rFonts w:eastAsia="Arial" w:cstheme="minorHAnsi"/>
        </w:rPr>
        <w:t xml:space="preserve"> provid</w:t>
      </w:r>
      <w:r w:rsidR="00787605">
        <w:rPr>
          <w:rFonts w:eastAsia="Arial" w:cstheme="minorHAnsi"/>
        </w:rPr>
        <w:t>es</w:t>
      </w:r>
      <w:r w:rsidR="00BE3E3C" w:rsidRPr="00C425B0">
        <w:rPr>
          <w:rFonts w:eastAsia="Arial" w:cstheme="minorHAnsi"/>
        </w:rPr>
        <w:t xml:space="preserve"> until December 31, 2028, for plants to achieve more stringent ELGs </w:t>
      </w:r>
      <w:r w:rsidR="0066228A">
        <w:rPr>
          <w:rFonts w:eastAsia="Arial" w:cstheme="minorHAnsi"/>
        </w:rPr>
        <w:t>for</w:t>
      </w:r>
      <w:r w:rsidR="00BE3E3C" w:rsidRPr="00C425B0">
        <w:rPr>
          <w:rFonts w:eastAsia="Arial" w:cstheme="minorHAnsi"/>
        </w:rPr>
        <w:t xml:space="preserve"> mercury, arsenic, selenium, nitrate-nitrite, bromide, and total dissolved solids based on membrane filtration.</w:t>
      </w:r>
      <w:r w:rsidR="005207F5">
        <w:rPr>
          <w:rFonts w:eastAsia="Arial" w:cstheme="minorHAnsi"/>
          <w:color w:val="000000" w:themeColor="text1"/>
        </w:rPr>
        <w:t xml:space="preserve"> </w:t>
      </w:r>
      <w:r w:rsidR="00031B64">
        <w:rPr>
          <w:rFonts w:eastAsia="Arial" w:cstheme="minorHAnsi"/>
        </w:rPr>
        <w:t xml:space="preserve">A new </w:t>
      </w:r>
      <w:r w:rsidR="00F645C5">
        <w:rPr>
          <w:rFonts w:eastAsia="Arial" w:cstheme="minorHAnsi"/>
        </w:rPr>
        <w:t xml:space="preserve">subcategory </w:t>
      </w:r>
      <w:r w:rsidR="00031B64">
        <w:rPr>
          <w:rFonts w:eastAsia="Arial" w:cstheme="minorHAnsi"/>
        </w:rPr>
        <w:t xml:space="preserve">was established that </w:t>
      </w:r>
      <w:r w:rsidR="0083384E">
        <w:rPr>
          <w:rFonts w:eastAsia="Arial" w:cstheme="minorHAnsi"/>
        </w:rPr>
        <w:t xml:space="preserve">provided </w:t>
      </w:r>
      <w:r w:rsidR="0083384E">
        <w:rPr>
          <w:rFonts w:eastAsia="Arial" w:cstheme="minorHAnsi"/>
        </w:rPr>
        <w:lastRenderedPageBreak/>
        <w:t xml:space="preserve">a compliance exemption </w:t>
      </w:r>
      <w:r w:rsidR="00F645C5">
        <w:rPr>
          <w:rFonts w:eastAsia="Arial" w:cstheme="minorHAnsi"/>
        </w:rPr>
        <w:t xml:space="preserve">for </w:t>
      </w:r>
      <w:r w:rsidR="00354510">
        <w:rPr>
          <w:rFonts w:eastAsia="Arial" w:cstheme="minorHAnsi"/>
        </w:rPr>
        <w:t>electric generating units</w:t>
      </w:r>
      <w:r w:rsidR="00BE3E3C" w:rsidRPr="002A7CDC">
        <w:rPr>
          <w:rFonts w:eastAsia="Arial" w:cstheme="minorHAnsi"/>
        </w:rPr>
        <w:t xml:space="preserve"> that will permanently cease the combustion of coal</w:t>
      </w:r>
      <w:r w:rsidR="00F645C5">
        <w:rPr>
          <w:rFonts w:cstheme="minorHAnsi"/>
        </w:rPr>
        <w:t xml:space="preserve"> </w:t>
      </w:r>
      <w:r w:rsidR="0066228A">
        <w:rPr>
          <w:rFonts w:cstheme="minorHAnsi"/>
        </w:rPr>
        <w:t xml:space="preserve">(through retirement or repowering) </w:t>
      </w:r>
      <w:r w:rsidR="00F645C5">
        <w:rPr>
          <w:rFonts w:cstheme="minorHAnsi"/>
        </w:rPr>
        <w:t>no later than</w:t>
      </w:r>
      <w:r w:rsidR="00BE3E3C" w:rsidRPr="002A7CDC" w:rsidDel="00ED4412">
        <w:rPr>
          <w:rFonts w:eastAsia="Arial" w:cstheme="minorHAnsi"/>
        </w:rPr>
        <w:t xml:space="preserve"> </w:t>
      </w:r>
      <w:r w:rsidR="00BE3E3C" w:rsidRPr="002A7CDC">
        <w:rPr>
          <w:rFonts w:eastAsia="Arial" w:cstheme="minorHAnsi"/>
        </w:rPr>
        <w:t>December 31, 2028</w:t>
      </w:r>
      <w:r w:rsidR="00EB74B2">
        <w:rPr>
          <w:rFonts w:eastAsia="Arial" w:cstheme="minorHAnsi"/>
        </w:rPr>
        <w:t>. For the cessation of coal combustion subcategory and for the VIP subcategory</w:t>
      </w:r>
      <w:r w:rsidR="0083384E">
        <w:rPr>
          <w:rFonts w:eastAsia="Arial" w:cstheme="minorHAnsi"/>
        </w:rPr>
        <w:t xml:space="preserve">, a Notice of Planned Participation </w:t>
      </w:r>
      <w:r w:rsidR="004A266E">
        <w:rPr>
          <w:rFonts w:eastAsia="Arial" w:cstheme="minorHAnsi"/>
        </w:rPr>
        <w:t>(</w:t>
      </w:r>
      <w:r w:rsidR="006877F7">
        <w:rPr>
          <w:rFonts w:eastAsia="Arial" w:cstheme="minorHAnsi"/>
        </w:rPr>
        <w:t>“</w:t>
      </w:r>
      <w:r w:rsidR="004A266E">
        <w:rPr>
          <w:rFonts w:eastAsia="Arial" w:cstheme="minorHAnsi"/>
        </w:rPr>
        <w:t>NOPP</w:t>
      </w:r>
      <w:r w:rsidR="006877F7">
        <w:rPr>
          <w:rFonts w:eastAsia="Arial" w:cstheme="minorHAnsi"/>
        </w:rPr>
        <w:t>”</w:t>
      </w:r>
      <w:r w:rsidR="004A266E">
        <w:rPr>
          <w:rFonts w:eastAsia="Arial" w:cstheme="minorHAnsi"/>
        </w:rPr>
        <w:t xml:space="preserve">) </w:t>
      </w:r>
      <w:r w:rsidR="0083384E">
        <w:rPr>
          <w:rFonts w:eastAsia="Arial" w:cstheme="minorHAnsi"/>
        </w:rPr>
        <w:t xml:space="preserve">was required to be submitted </w:t>
      </w:r>
      <w:r w:rsidR="00EB74B2">
        <w:rPr>
          <w:rFonts w:eastAsia="Arial" w:cstheme="minorHAnsi"/>
        </w:rPr>
        <w:t xml:space="preserve">by the facility to the permitting authority </w:t>
      </w:r>
      <w:r w:rsidR="0083384E">
        <w:rPr>
          <w:rFonts w:eastAsia="Arial" w:cstheme="minorHAnsi"/>
        </w:rPr>
        <w:t>by October 2021</w:t>
      </w:r>
      <w:r w:rsidR="00CE50A4">
        <w:rPr>
          <w:rFonts w:eastAsia="Arial" w:cstheme="minorHAnsi"/>
        </w:rPr>
        <w:t>.</w:t>
      </w:r>
      <w:r w:rsidR="00F94BAA">
        <w:rPr>
          <w:rFonts w:eastAsia="Arial" w:cstheme="minorHAnsi"/>
          <w:color w:val="000000" w:themeColor="text1"/>
        </w:rPr>
        <w:t xml:space="preserve"> </w:t>
      </w:r>
      <w:r w:rsidR="00001F0B">
        <w:rPr>
          <w:rFonts w:eastAsia="Arial" w:cstheme="minorHAnsi"/>
          <w:color w:val="000000" w:themeColor="text1"/>
        </w:rPr>
        <w:t xml:space="preserve">Two </w:t>
      </w:r>
      <w:r w:rsidR="00426E4B">
        <w:rPr>
          <w:rFonts w:eastAsia="Arial" w:cstheme="minorHAnsi"/>
          <w:color w:val="000000" w:themeColor="text1"/>
        </w:rPr>
        <w:t xml:space="preserve">other </w:t>
      </w:r>
      <w:r w:rsidR="00F94BAA">
        <w:rPr>
          <w:rFonts w:eastAsia="Arial" w:cstheme="minorHAnsi"/>
          <w:color w:val="000000" w:themeColor="text1"/>
        </w:rPr>
        <w:t xml:space="preserve">new subcategories, </w:t>
      </w:r>
      <w:r w:rsidR="00F94BAA">
        <w:rPr>
          <w:rFonts w:eastAsia="Arial" w:cstheme="minorHAnsi"/>
        </w:rPr>
        <w:t>h</w:t>
      </w:r>
      <w:r w:rsidR="00F94BAA" w:rsidRPr="002A7CDC">
        <w:rPr>
          <w:rFonts w:eastAsia="Arial" w:cstheme="minorHAnsi"/>
        </w:rPr>
        <w:t xml:space="preserve">igh </w:t>
      </w:r>
      <w:r w:rsidR="00BC63B9">
        <w:rPr>
          <w:rFonts w:eastAsia="Arial" w:cstheme="minorHAnsi"/>
        </w:rPr>
        <w:t>scrubber</w:t>
      </w:r>
      <w:r w:rsidR="00F94BAA" w:rsidRPr="002A7CDC">
        <w:rPr>
          <w:rFonts w:eastAsia="Arial" w:cstheme="minorHAnsi"/>
        </w:rPr>
        <w:t xml:space="preserve"> flow plants</w:t>
      </w:r>
      <w:r w:rsidR="00F94BAA">
        <w:rPr>
          <w:rFonts w:eastAsia="Arial" w:cstheme="minorHAnsi"/>
        </w:rPr>
        <w:t xml:space="preserve"> and </w:t>
      </w:r>
      <w:r w:rsidR="00BC63B9">
        <w:rPr>
          <w:rFonts w:eastAsia="Arial" w:cstheme="minorHAnsi"/>
        </w:rPr>
        <w:t>electric generating units</w:t>
      </w:r>
      <w:r w:rsidR="00F94BAA">
        <w:rPr>
          <w:rFonts w:eastAsia="Arial" w:cstheme="minorHAnsi"/>
        </w:rPr>
        <w:t xml:space="preserve"> with </w:t>
      </w:r>
      <w:r w:rsidR="00426E4B">
        <w:rPr>
          <w:rFonts w:eastAsia="Arial" w:cstheme="minorHAnsi"/>
        </w:rPr>
        <w:t xml:space="preserve">capacity factor of less </w:t>
      </w:r>
      <w:r w:rsidR="00F94BAA" w:rsidRPr="002A7CDC">
        <w:rPr>
          <w:rFonts w:eastAsia="Arial" w:cstheme="minorHAnsi"/>
        </w:rPr>
        <w:t>than 10 percent</w:t>
      </w:r>
      <w:r w:rsidR="00F94BAA">
        <w:rPr>
          <w:rFonts w:eastAsia="Arial" w:cstheme="minorHAnsi"/>
        </w:rPr>
        <w:t xml:space="preserve">, </w:t>
      </w:r>
      <w:r w:rsidR="00426E4B">
        <w:rPr>
          <w:rFonts w:eastAsia="Arial" w:cstheme="minorHAnsi"/>
        </w:rPr>
        <w:t xml:space="preserve">do not apply </w:t>
      </w:r>
      <w:r w:rsidR="00F94BAA">
        <w:rPr>
          <w:rFonts w:eastAsia="Arial" w:cstheme="minorHAnsi"/>
        </w:rPr>
        <w:t>to Georgia Power operations.</w:t>
      </w:r>
    </w:p>
    <w:p w14:paraId="36A5F6A3" w14:textId="198B6933" w:rsidR="00BE3E3C" w:rsidRDefault="00BE3E3C" w:rsidP="00C942DB">
      <w:pPr>
        <w:spacing w:before="120" w:after="0" w:line="240" w:lineRule="auto"/>
        <w:rPr>
          <w:rFonts w:eastAsia="Arial" w:cs="Arial"/>
          <w:color w:val="000000" w:themeColor="text1"/>
        </w:rPr>
      </w:pPr>
      <w:r w:rsidRPr="002A7CDC">
        <w:rPr>
          <w:rFonts w:eastAsia="Arial" w:cstheme="minorHAnsi"/>
          <w:color w:val="000000" w:themeColor="text1"/>
        </w:rPr>
        <w:t>In 2020, the ELG Reconsideration Rule was challenged by environmental groups and consolidated in the U.S. Court of Appeals for the Fourth Circuit</w:t>
      </w:r>
      <w:r w:rsidR="0097618D">
        <w:rPr>
          <w:rFonts w:eastAsia="Arial" w:cstheme="minorHAnsi"/>
          <w:color w:val="000000" w:themeColor="text1"/>
        </w:rPr>
        <w:t>,</w:t>
      </w:r>
      <w:r w:rsidRPr="002A7CDC">
        <w:rPr>
          <w:rFonts w:eastAsia="Arial" w:cstheme="minorHAnsi"/>
          <w:color w:val="000000" w:themeColor="text1"/>
        </w:rPr>
        <w:t xml:space="preserve"> with industry groups intervening in the case. </w:t>
      </w:r>
      <w:r w:rsidR="008E72F7">
        <w:rPr>
          <w:rFonts w:eastAsia="Arial" w:cstheme="minorHAnsi"/>
          <w:color w:val="000000" w:themeColor="text1"/>
        </w:rPr>
        <w:t xml:space="preserve">In 2021, </w:t>
      </w:r>
      <w:r w:rsidR="000D3212">
        <w:rPr>
          <w:rFonts w:eastAsia="Arial" w:cstheme="minorHAnsi"/>
          <w:color w:val="000000" w:themeColor="text1"/>
        </w:rPr>
        <w:t>t</w:t>
      </w:r>
      <w:r w:rsidR="008E72F7">
        <w:rPr>
          <w:rFonts w:eastAsia="Arial" w:cstheme="minorHAnsi"/>
          <w:color w:val="000000" w:themeColor="text1"/>
        </w:rPr>
        <w:t xml:space="preserve">he court granted </w:t>
      </w:r>
      <w:r w:rsidRPr="002A7CDC">
        <w:rPr>
          <w:rFonts w:eastAsia="Arial" w:cstheme="minorHAnsi"/>
          <w:color w:val="000000" w:themeColor="text1"/>
        </w:rPr>
        <w:t xml:space="preserve">EPA’s motion </w:t>
      </w:r>
      <w:r w:rsidR="008E72F7">
        <w:rPr>
          <w:rFonts w:eastAsia="Arial" w:cstheme="minorHAnsi"/>
          <w:color w:val="000000" w:themeColor="text1"/>
        </w:rPr>
        <w:t xml:space="preserve">to put the case on hold </w:t>
      </w:r>
      <w:r w:rsidR="00DE0304">
        <w:rPr>
          <w:rFonts w:eastAsia="Arial" w:cstheme="minorHAnsi"/>
          <w:color w:val="000000" w:themeColor="text1"/>
        </w:rPr>
        <w:t>while the agency reviewed the ELG Reconsideration Rule</w:t>
      </w:r>
      <w:r w:rsidR="00FD49AF">
        <w:rPr>
          <w:rFonts w:eastAsia="Arial" w:cstheme="minorHAnsi"/>
          <w:color w:val="000000" w:themeColor="text1"/>
        </w:rPr>
        <w:t xml:space="preserve">. </w:t>
      </w:r>
      <w:r w:rsidR="00DE0304">
        <w:rPr>
          <w:rFonts w:eastAsia="Arial" w:cstheme="minorHAnsi"/>
          <w:color w:val="000000" w:themeColor="text1"/>
        </w:rPr>
        <w:t xml:space="preserve">EPA announced </w:t>
      </w:r>
      <w:r w:rsidR="00231CB8">
        <w:rPr>
          <w:rFonts w:eastAsia="Arial" w:cstheme="minorHAnsi"/>
          <w:color w:val="000000" w:themeColor="text1"/>
        </w:rPr>
        <w:t xml:space="preserve">in August 2021 </w:t>
      </w:r>
      <w:r w:rsidR="00416C1F">
        <w:rPr>
          <w:rFonts w:eastAsia="Arial" w:cstheme="minorHAnsi"/>
          <w:color w:val="000000" w:themeColor="text1"/>
        </w:rPr>
        <w:t xml:space="preserve">that </w:t>
      </w:r>
      <w:r>
        <w:rPr>
          <w:rFonts w:eastAsia="Arial" w:cs="Arial"/>
          <w:color w:val="000000" w:themeColor="text1"/>
        </w:rPr>
        <w:t>it</w:t>
      </w:r>
      <w:r w:rsidR="004D7A87">
        <w:rPr>
          <w:rFonts w:eastAsia="Arial" w:cs="Arial"/>
          <w:color w:val="000000" w:themeColor="text1"/>
        </w:rPr>
        <w:t xml:space="preserve"> would </w:t>
      </w:r>
      <w:r w:rsidR="00430629">
        <w:rPr>
          <w:rFonts w:eastAsia="Arial" w:cs="Arial"/>
          <w:color w:val="000000" w:themeColor="text1"/>
        </w:rPr>
        <w:t>initiate a new rulemaking</w:t>
      </w:r>
      <w:r w:rsidR="006B01DA">
        <w:rPr>
          <w:rFonts w:eastAsia="Arial" w:cs="Arial"/>
          <w:color w:val="000000" w:themeColor="text1"/>
        </w:rPr>
        <w:t xml:space="preserve"> </w:t>
      </w:r>
      <w:r w:rsidR="004D7A87">
        <w:rPr>
          <w:rFonts w:eastAsia="Arial" w:cs="Arial"/>
          <w:color w:val="000000" w:themeColor="text1"/>
        </w:rPr>
        <w:t xml:space="preserve">but stated </w:t>
      </w:r>
      <w:r w:rsidRPr="373BFE13">
        <w:rPr>
          <w:rFonts w:eastAsia="Arial" w:cs="Arial"/>
          <w:color w:val="000000" w:themeColor="text1"/>
        </w:rPr>
        <w:t xml:space="preserve">that permitting authorities should continue to implement the </w:t>
      </w:r>
      <w:r>
        <w:rPr>
          <w:rFonts w:eastAsia="Arial" w:cs="Arial"/>
          <w:color w:val="000000" w:themeColor="text1"/>
        </w:rPr>
        <w:t xml:space="preserve">ELG </w:t>
      </w:r>
      <w:r w:rsidRPr="373BFE13">
        <w:rPr>
          <w:rFonts w:eastAsia="Arial" w:cs="Arial"/>
          <w:color w:val="000000" w:themeColor="text1"/>
        </w:rPr>
        <w:t>Reconsideration Rule</w:t>
      </w:r>
      <w:r w:rsidR="00820272">
        <w:rPr>
          <w:rFonts w:eastAsia="Arial" w:cs="Arial"/>
          <w:color w:val="000000" w:themeColor="text1"/>
        </w:rPr>
        <w:t xml:space="preserve"> requirements</w:t>
      </w:r>
      <w:r w:rsidRPr="373BFE13">
        <w:rPr>
          <w:rFonts w:eastAsia="Arial" w:cs="Arial"/>
          <w:color w:val="000000" w:themeColor="text1"/>
        </w:rPr>
        <w:t xml:space="preserve"> during the process. </w:t>
      </w:r>
    </w:p>
    <w:p w14:paraId="1311405D" w14:textId="53FE8BDE" w:rsidR="00620637" w:rsidRDefault="00BF5B01" w:rsidP="00C942DB">
      <w:pPr>
        <w:spacing w:before="120" w:after="0" w:line="240" w:lineRule="auto"/>
        <w:rPr>
          <w:rFonts w:eastAsia="Arial" w:cs="Arial"/>
          <w:b/>
          <w:bCs/>
          <w:color w:val="000000" w:themeColor="text1"/>
        </w:rPr>
      </w:pPr>
      <w:r>
        <w:rPr>
          <w:rFonts w:eastAsia="Arial" w:cs="Arial"/>
          <w:b/>
          <w:bCs/>
          <w:color w:val="000000" w:themeColor="text1"/>
        </w:rPr>
        <w:t>New</w:t>
      </w:r>
      <w:r w:rsidR="00620637" w:rsidRPr="00620637">
        <w:rPr>
          <w:rFonts w:eastAsia="Arial" w:cs="Arial"/>
          <w:b/>
          <w:bCs/>
          <w:color w:val="000000" w:themeColor="text1"/>
        </w:rPr>
        <w:t xml:space="preserve"> Regulatory Updates</w:t>
      </w:r>
    </w:p>
    <w:p w14:paraId="6065B35C" w14:textId="5D294A73" w:rsidR="00551A5A" w:rsidRPr="00A10E56" w:rsidRDefault="002466D1" w:rsidP="005B57C5">
      <w:pPr>
        <w:pStyle w:val="ListParagraph"/>
        <w:numPr>
          <w:ilvl w:val="0"/>
          <w:numId w:val="3"/>
        </w:numPr>
        <w:spacing w:after="0"/>
        <w:rPr>
          <w:rFonts w:eastAsia="Arial" w:cs="Arial"/>
          <w:b/>
          <w:bCs/>
          <w:color w:val="000000" w:themeColor="text1"/>
        </w:rPr>
      </w:pPr>
      <w:r>
        <w:rPr>
          <w:rFonts w:asciiTheme="minorHAnsi" w:eastAsia="Arial" w:hAnsiTheme="minorHAnsi" w:cs="Arial"/>
          <w:color w:val="000000" w:themeColor="text1"/>
          <w:sz w:val="22"/>
        </w:rPr>
        <w:t xml:space="preserve">On March 29, 2023, </w:t>
      </w:r>
      <w:r w:rsidR="009B12E0" w:rsidRPr="00A10E56">
        <w:rPr>
          <w:rFonts w:asciiTheme="minorHAnsi" w:eastAsia="Arial" w:hAnsiTheme="minorHAnsi" w:cs="Arial"/>
          <w:color w:val="000000" w:themeColor="text1"/>
          <w:sz w:val="22"/>
        </w:rPr>
        <w:t xml:space="preserve">EPA </w:t>
      </w:r>
      <w:r w:rsidR="000B3946" w:rsidRPr="00A10E56">
        <w:rPr>
          <w:rFonts w:asciiTheme="minorHAnsi" w:eastAsia="Arial" w:hAnsiTheme="minorHAnsi" w:cs="Arial"/>
          <w:color w:val="000000" w:themeColor="text1"/>
          <w:sz w:val="22"/>
        </w:rPr>
        <w:t xml:space="preserve">published </w:t>
      </w:r>
      <w:r w:rsidR="005D2F6E" w:rsidRPr="00A10E56">
        <w:rPr>
          <w:rFonts w:asciiTheme="minorHAnsi" w:eastAsia="Arial" w:hAnsiTheme="minorHAnsi" w:cs="Arial"/>
          <w:color w:val="000000" w:themeColor="text1"/>
          <w:sz w:val="22"/>
        </w:rPr>
        <w:t xml:space="preserve">the </w:t>
      </w:r>
      <w:r w:rsidR="009B12E0" w:rsidRPr="00A10E56">
        <w:rPr>
          <w:rFonts w:asciiTheme="minorHAnsi" w:eastAsia="Arial" w:hAnsiTheme="minorHAnsi" w:cs="Arial"/>
          <w:color w:val="000000" w:themeColor="text1"/>
          <w:sz w:val="22"/>
        </w:rPr>
        <w:t xml:space="preserve">proposed ELG Supplemental </w:t>
      </w:r>
      <w:r w:rsidR="009B12E0" w:rsidRPr="00A96758">
        <w:rPr>
          <w:rFonts w:asciiTheme="minorHAnsi" w:eastAsia="Arial" w:hAnsiTheme="minorHAnsi" w:cs="Arial"/>
          <w:color w:val="000000" w:themeColor="text1"/>
          <w:sz w:val="22"/>
        </w:rPr>
        <w:t>R</w:t>
      </w:r>
      <w:r w:rsidR="00C740C6">
        <w:rPr>
          <w:rFonts w:asciiTheme="minorHAnsi" w:eastAsia="Arial" w:hAnsiTheme="minorHAnsi" w:cs="Arial"/>
          <w:color w:val="000000" w:themeColor="text1"/>
          <w:sz w:val="22"/>
        </w:rPr>
        <w:t>ule</w:t>
      </w:r>
      <w:r w:rsidR="00BF58DB">
        <w:rPr>
          <w:rFonts w:asciiTheme="minorHAnsi" w:eastAsia="Arial" w:hAnsiTheme="minorHAnsi" w:cs="Arial"/>
          <w:color w:val="000000" w:themeColor="text1"/>
          <w:sz w:val="22"/>
        </w:rPr>
        <w:t>, which would</w:t>
      </w:r>
      <w:r w:rsidR="00622EB2">
        <w:rPr>
          <w:rFonts w:asciiTheme="minorHAnsi" w:eastAsia="Arial" w:hAnsiTheme="minorHAnsi" w:cs="Arial"/>
          <w:color w:val="000000" w:themeColor="text1"/>
          <w:sz w:val="22"/>
        </w:rPr>
        <w:t xml:space="preserve"> </w:t>
      </w:r>
      <w:r w:rsidR="00260D42">
        <w:rPr>
          <w:rFonts w:asciiTheme="minorHAnsi" w:eastAsia="Arial" w:hAnsiTheme="minorHAnsi" w:cs="Arial"/>
          <w:color w:val="000000" w:themeColor="text1"/>
          <w:sz w:val="22"/>
        </w:rPr>
        <w:t xml:space="preserve">set </w:t>
      </w:r>
      <w:r w:rsidR="00B07B47" w:rsidRPr="00A10E56">
        <w:rPr>
          <w:rFonts w:asciiTheme="minorHAnsi" w:eastAsia="Arial" w:hAnsiTheme="minorHAnsi" w:cs="Arial"/>
          <w:color w:val="000000" w:themeColor="text1"/>
          <w:sz w:val="22"/>
        </w:rPr>
        <w:t xml:space="preserve">a </w:t>
      </w:r>
      <w:r w:rsidR="009B12E0" w:rsidRPr="00A10E56">
        <w:rPr>
          <w:rFonts w:asciiTheme="minorHAnsi" w:eastAsia="Arial" w:hAnsiTheme="minorHAnsi" w:cs="Arial"/>
          <w:color w:val="000000" w:themeColor="text1"/>
          <w:sz w:val="22"/>
        </w:rPr>
        <w:t xml:space="preserve">more stringent </w:t>
      </w:r>
      <w:r w:rsidR="00B07B47" w:rsidRPr="00A10E56">
        <w:rPr>
          <w:rFonts w:asciiTheme="minorHAnsi" w:eastAsia="Arial" w:hAnsiTheme="minorHAnsi" w:cs="Arial"/>
          <w:color w:val="000000" w:themeColor="text1"/>
          <w:sz w:val="22"/>
        </w:rPr>
        <w:t xml:space="preserve">zero liquid </w:t>
      </w:r>
      <w:r w:rsidR="00B07B47" w:rsidRPr="00A96758">
        <w:rPr>
          <w:rFonts w:asciiTheme="minorHAnsi" w:eastAsia="Arial" w:hAnsiTheme="minorHAnsi" w:cs="Arial"/>
          <w:color w:val="000000" w:themeColor="text1"/>
          <w:sz w:val="22"/>
        </w:rPr>
        <w:t>discharge</w:t>
      </w:r>
      <w:r w:rsidR="00B07B47" w:rsidRPr="00A10E56">
        <w:rPr>
          <w:rFonts w:asciiTheme="minorHAnsi" w:eastAsia="Arial" w:hAnsiTheme="minorHAnsi" w:cs="Arial"/>
          <w:color w:val="000000" w:themeColor="text1"/>
          <w:sz w:val="22"/>
        </w:rPr>
        <w:t xml:space="preserve"> requirement </w:t>
      </w:r>
      <w:r w:rsidR="009B12E0" w:rsidRPr="00A10E56">
        <w:rPr>
          <w:rFonts w:asciiTheme="minorHAnsi" w:eastAsia="Arial" w:hAnsiTheme="minorHAnsi" w:cs="Arial"/>
          <w:color w:val="000000" w:themeColor="text1"/>
          <w:sz w:val="22"/>
        </w:rPr>
        <w:t xml:space="preserve">for </w:t>
      </w:r>
      <w:r w:rsidR="00002BF4" w:rsidRPr="00A10E56">
        <w:rPr>
          <w:rFonts w:asciiTheme="minorHAnsi" w:eastAsia="Arial" w:hAnsiTheme="minorHAnsi" w:cs="Arial"/>
          <w:color w:val="000000" w:themeColor="text1"/>
          <w:sz w:val="22"/>
        </w:rPr>
        <w:t>scrubber</w:t>
      </w:r>
      <w:r w:rsidR="009B12E0" w:rsidRPr="00A10E56">
        <w:rPr>
          <w:rFonts w:asciiTheme="minorHAnsi" w:eastAsia="Arial" w:hAnsiTheme="minorHAnsi" w:cs="Arial"/>
          <w:color w:val="000000" w:themeColor="text1"/>
          <w:sz w:val="22"/>
        </w:rPr>
        <w:t xml:space="preserve"> wastewater </w:t>
      </w:r>
      <w:r w:rsidR="009D2A22" w:rsidRPr="00A10E56">
        <w:rPr>
          <w:rFonts w:asciiTheme="minorHAnsi" w:eastAsia="Arial" w:hAnsiTheme="minorHAnsi" w:cs="Arial"/>
          <w:color w:val="000000" w:themeColor="text1"/>
          <w:sz w:val="22"/>
        </w:rPr>
        <w:t xml:space="preserve">with compliance required </w:t>
      </w:r>
      <w:r w:rsidR="001436C4" w:rsidRPr="00A10E56">
        <w:rPr>
          <w:rFonts w:asciiTheme="minorHAnsi" w:eastAsia="Arial" w:hAnsiTheme="minorHAnsi" w:cs="Arial"/>
          <w:color w:val="000000" w:themeColor="text1"/>
          <w:sz w:val="22"/>
        </w:rPr>
        <w:t>by December 31, 2029</w:t>
      </w:r>
      <w:r w:rsidR="00E468D6" w:rsidRPr="00A10E56">
        <w:rPr>
          <w:rFonts w:asciiTheme="minorHAnsi" w:eastAsia="Arial" w:hAnsiTheme="minorHAnsi" w:cs="Arial"/>
          <w:color w:val="000000" w:themeColor="text1"/>
          <w:sz w:val="22"/>
        </w:rPr>
        <w:t>.</w:t>
      </w:r>
      <w:r w:rsidR="00A10E56" w:rsidRPr="00A10E56">
        <w:rPr>
          <w:rFonts w:asciiTheme="minorHAnsi" w:eastAsia="Arial" w:hAnsiTheme="minorHAnsi" w:cs="Arial"/>
          <w:color w:val="000000" w:themeColor="text1"/>
          <w:sz w:val="22"/>
        </w:rPr>
        <w:t xml:space="preserve"> </w:t>
      </w:r>
      <w:r w:rsidR="002169B0" w:rsidRPr="00A96758">
        <w:rPr>
          <w:rFonts w:asciiTheme="minorHAnsi" w:eastAsia="Arial" w:hAnsiTheme="minorHAnsi" w:cs="Arial"/>
          <w:color w:val="000000" w:themeColor="text1"/>
          <w:sz w:val="22"/>
        </w:rPr>
        <w:t>EPA bases the requirement</w:t>
      </w:r>
      <w:r w:rsidR="00CF79DB">
        <w:rPr>
          <w:rFonts w:asciiTheme="minorHAnsi" w:eastAsia="Arial" w:hAnsiTheme="minorHAnsi" w:cs="Arial"/>
          <w:color w:val="000000" w:themeColor="text1"/>
          <w:sz w:val="22"/>
        </w:rPr>
        <w:t>s</w:t>
      </w:r>
      <w:r w:rsidR="007C712E" w:rsidRPr="00A96758">
        <w:rPr>
          <w:rFonts w:asciiTheme="minorHAnsi" w:eastAsia="Arial" w:hAnsiTheme="minorHAnsi" w:cs="Arial"/>
          <w:color w:val="000000" w:themeColor="text1"/>
          <w:sz w:val="22"/>
        </w:rPr>
        <w:t xml:space="preserve"> on implementation of membrane-based scrubber wastewater treatment technology and assumes that facilities </w:t>
      </w:r>
      <w:r w:rsidR="00CF79DB">
        <w:rPr>
          <w:rFonts w:asciiTheme="minorHAnsi" w:eastAsia="Arial" w:hAnsiTheme="minorHAnsi" w:cs="Arial"/>
          <w:color w:val="000000" w:themeColor="text1"/>
          <w:sz w:val="22"/>
        </w:rPr>
        <w:t xml:space="preserve">can </w:t>
      </w:r>
      <w:r w:rsidR="00A96758" w:rsidRPr="00A96758">
        <w:rPr>
          <w:rFonts w:asciiTheme="minorHAnsi" w:eastAsia="Arial" w:hAnsiTheme="minorHAnsi" w:cs="Arial"/>
          <w:color w:val="000000" w:themeColor="text1"/>
          <w:sz w:val="22"/>
        </w:rPr>
        <w:t xml:space="preserve">use </w:t>
      </w:r>
      <w:r w:rsidR="007974FC" w:rsidRPr="00A96758">
        <w:rPr>
          <w:rFonts w:asciiTheme="minorHAnsi" w:eastAsia="Arial" w:hAnsiTheme="minorHAnsi" w:cs="Arial"/>
          <w:color w:val="000000" w:themeColor="text1"/>
          <w:sz w:val="22"/>
        </w:rPr>
        <w:t xml:space="preserve">the treated permeate </w:t>
      </w:r>
      <w:r w:rsidR="00A96758">
        <w:rPr>
          <w:rFonts w:asciiTheme="minorHAnsi" w:eastAsia="Arial" w:hAnsiTheme="minorHAnsi" w:cs="Arial"/>
          <w:color w:val="000000" w:themeColor="text1"/>
          <w:sz w:val="22"/>
        </w:rPr>
        <w:t xml:space="preserve">as scrubber </w:t>
      </w:r>
      <w:r w:rsidR="007974FC" w:rsidRPr="00A96758">
        <w:rPr>
          <w:rFonts w:asciiTheme="minorHAnsi" w:eastAsia="Arial" w:hAnsiTheme="minorHAnsi" w:cs="Arial"/>
          <w:color w:val="000000" w:themeColor="text1"/>
          <w:sz w:val="22"/>
        </w:rPr>
        <w:t xml:space="preserve">or boiler make-up </w:t>
      </w:r>
      <w:r w:rsidR="00CF79DB">
        <w:rPr>
          <w:rFonts w:asciiTheme="minorHAnsi" w:eastAsia="Arial" w:hAnsiTheme="minorHAnsi" w:cs="Arial"/>
          <w:color w:val="000000" w:themeColor="text1"/>
          <w:sz w:val="22"/>
        </w:rPr>
        <w:t xml:space="preserve">water </w:t>
      </w:r>
      <w:proofErr w:type="gramStart"/>
      <w:r w:rsidR="00CF79DB">
        <w:rPr>
          <w:rFonts w:asciiTheme="minorHAnsi" w:eastAsia="Arial" w:hAnsiTheme="minorHAnsi" w:cs="Arial"/>
          <w:color w:val="000000" w:themeColor="text1"/>
          <w:sz w:val="22"/>
        </w:rPr>
        <w:t>in order to</w:t>
      </w:r>
      <w:proofErr w:type="gramEnd"/>
      <w:r w:rsidR="00CF79DB">
        <w:rPr>
          <w:rFonts w:asciiTheme="minorHAnsi" w:eastAsia="Arial" w:hAnsiTheme="minorHAnsi" w:cs="Arial"/>
          <w:color w:val="000000" w:themeColor="text1"/>
          <w:sz w:val="22"/>
        </w:rPr>
        <w:t xml:space="preserve"> achieve zero liquid discharge</w:t>
      </w:r>
      <w:r w:rsidR="007974FC" w:rsidRPr="00A96758">
        <w:rPr>
          <w:rFonts w:asciiTheme="minorHAnsi" w:eastAsia="Arial" w:hAnsiTheme="minorHAnsi" w:cs="Arial"/>
          <w:color w:val="000000" w:themeColor="text1"/>
          <w:sz w:val="22"/>
        </w:rPr>
        <w:t xml:space="preserve">. </w:t>
      </w:r>
      <w:r w:rsidR="00A10E56" w:rsidRPr="00A96758">
        <w:rPr>
          <w:rFonts w:asciiTheme="minorHAnsi" w:eastAsia="Arial" w:hAnsiTheme="minorHAnsi" w:cs="Arial"/>
          <w:color w:val="000000" w:themeColor="text1"/>
          <w:sz w:val="22"/>
        </w:rPr>
        <w:t xml:space="preserve">The proposal </w:t>
      </w:r>
      <w:r w:rsidR="006B1A67">
        <w:rPr>
          <w:rFonts w:asciiTheme="minorHAnsi" w:eastAsia="Arial" w:hAnsiTheme="minorHAnsi" w:cs="Arial"/>
          <w:color w:val="000000" w:themeColor="text1"/>
          <w:sz w:val="22"/>
        </w:rPr>
        <w:t>also</w:t>
      </w:r>
      <w:r w:rsidR="00A10E56" w:rsidRPr="00A10E56">
        <w:rPr>
          <w:rFonts w:asciiTheme="minorHAnsi" w:eastAsia="Arial" w:hAnsiTheme="minorHAnsi" w:cs="Arial"/>
          <w:color w:val="000000" w:themeColor="text1"/>
          <w:sz w:val="22"/>
        </w:rPr>
        <w:t xml:space="preserve"> creates a new subcategory of facilities that have already complied with either the 2015 or 2020 Rule’s requirements by the publication date of the proposed </w:t>
      </w:r>
      <w:r w:rsidR="0021378B">
        <w:rPr>
          <w:rFonts w:asciiTheme="minorHAnsi" w:eastAsia="Arial" w:hAnsiTheme="minorHAnsi" w:cs="Arial"/>
          <w:color w:val="000000" w:themeColor="text1"/>
          <w:sz w:val="22"/>
        </w:rPr>
        <w:t>ELG Supplemental Rule</w:t>
      </w:r>
      <w:r w:rsidR="00A10E56" w:rsidRPr="00A10E56">
        <w:rPr>
          <w:rFonts w:asciiTheme="minorHAnsi" w:eastAsia="Arial" w:hAnsiTheme="minorHAnsi" w:cs="Arial"/>
          <w:color w:val="000000" w:themeColor="text1"/>
          <w:sz w:val="22"/>
        </w:rPr>
        <w:t xml:space="preserve"> (called “early adopters”)</w:t>
      </w:r>
      <w:r w:rsidR="0021378B">
        <w:rPr>
          <w:rFonts w:asciiTheme="minorHAnsi" w:eastAsia="Arial" w:hAnsiTheme="minorHAnsi" w:cs="Arial"/>
          <w:color w:val="000000" w:themeColor="text1"/>
          <w:sz w:val="22"/>
        </w:rPr>
        <w:t>,</w:t>
      </w:r>
      <w:r w:rsidR="00A10E56" w:rsidRPr="00A10E56">
        <w:rPr>
          <w:rFonts w:asciiTheme="minorHAnsi" w:eastAsia="Arial" w:hAnsiTheme="minorHAnsi" w:cs="Arial"/>
          <w:color w:val="000000" w:themeColor="text1"/>
          <w:sz w:val="22"/>
        </w:rPr>
        <w:t xml:space="preserve"> where such facilities would </w:t>
      </w:r>
      <w:r w:rsidR="00D5619B">
        <w:rPr>
          <w:rFonts w:asciiTheme="minorHAnsi" w:eastAsia="Arial" w:hAnsiTheme="minorHAnsi" w:cs="Arial"/>
          <w:color w:val="000000" w:themeColor="text1"/>
          <w:sz w:val="22"/>
        </w:rPr>
        <w:t xml:space="preserve">have the option to </w:t>
      </w:r>
      <w:r w:rsidR="0021378B">
        <w:rPr>
          <w:rFonts w:asciiTheme="minorHAnsi" w:eastAsia="Arial" w:hAnsiTheme="minorHAnsi" w:cs="Arial"/>
          <w:color w:val="000000" w:themeColor="text1"/>
          <w:sz w:val="22"/>
        </w:rPr>
        <w:t xml:space="preserve">not have to meet the proposal’s requirements but must </w:t>
      </w:r>
      <w:r w:rsidR="00A10E56" w:rsidRPr="00A10E56">
        <w:rPr>
          <w:rFonts w:asciiTheme="minorHAnsi" w:eastAsia="Arial" w:hAnsiTheme="minorHAnsi" w:cs="Arial"/>
          <w:color w:val="000000" w:themeColor="text1"/>
          <w:sz w:val="22"/>
        </w:rPr>
        <w:t xml:space="preserve">retire by 2032. </w:t>
      </w:r>
      <w:r w:rsidR="00E468D6" w:rsidRPr="00A10E56">
        <w:rPr>
          <w:rFonts w:asciiTheme="minorHAnsi" w:eastAsia="Arial" w:hAnsiTheme="minorHAnsi" w:cs="Arial"/>
          <w:color w:val="000000" w:themeColor="text1"/>
          <w:sz w:val="22"/>
        </w:rPr>
        <w:t xml:space="preserve">The </w:t>
      </w:r>
      <w:r w:rsidR="00DA0DB5" w:rsidRPr="00A10E56">
        <w:rPr>
          <w:rFonts w:asciiTheme="minorHAnsi" w:eastAsia="Arial" w:hAnsiTheme="minorHAnsi" w:cs="Arial"/>
          <w:color w:val="000000" w:themeColor="text1"/>
          <w:sz w:val="22"/>
        </w:rPr>
        <w:t>proposed</w:t>
      </w:r>
      <w:r w:rsidR="00E468D6" w:rsidRPr="00A10E56">
        <w:rPr>
          <w:rFonts w:asciiTheme="minorHAnsi" w:eastAsia="Arial" w:hAnsiTheme="minorHAnsi" w:cs="Arial"/>
          <w:color w:val="000000" w:themeColor="text1"/>
          <w:sz w:val="22"/>
        </w:rPr>
        <w:t xml:space="preserve"> rule also </w:t>
      </w:r>
      <w:r w:rsidR="009B12E0" w:rsidRPr="00A10E56">
        <w:rPr>
          <w:rFonts w:asciiTheme="minorHAnsi" w:eastAsia="Arial" w:hAnsiTheme="minorHAnsi" w:cs="Arial"/>
          <w:color w:val="000000" w:themeColor="text1"/>
          <w:sz w:val="22"/>
        </w:rPr>
        <w:t>address</w:t>
      </w:r>
      <w:r w:rsidR="00E468D6" w:rsidRPr="00A10E56">
        <w:rPr>
          <w:rFonts w:asciiTheme="minorHAnsi" w:eastAsia="Arial" w:hAnsiTheme="minorHAnsi" w:cs="Arial"/>
          <w:color w:val="000000" w:themeColor="text1"/>
          <w:sz w:val="22"/>
        </w:rPr>
        <w:t>es</w:t>
      </w:r>
      <w:r w:rsidR="009B12E0" w:rsidRPr="00A10E56">
        <w:rPr>
          <w:rFonts w:asciiTheme="minorHAnsi" w:eastAsia="Arial" w:hAnsiTheme="minorHAnsi" w:cs="Arial"/>
          <w:color w:val="000000" w:themeColor="text1"/>
          <w:sz w:val="22"/>
        </w:rPr>
        <w:t xml:space="preserve"> </w:t>
      </w:r>
      <w:r w:rsidR="00A8448E" w:rsidRPr="00A10E56">
        <w:rPr>
          <w:rFonts w:asciiTheme="minorHAnsi" w:eastAsia="Arial" w:hAnsiTheme="minorHAnsi" w:cs="Arial"/>
          <w:color w:val="000000" w:themeColor="text1"/>
          <w:sz w:val="22"/>
        </w:rPr>
        <w:t xml:space="preserve">new requirements for </w:t>
      </w:r>
      <w:r w:rsidR="009B12E0" w:rsidRPr="00A10E56">
        <w:rPr>
          <w:rFonts w:asciiTheme="minorHAnsi" w:eastAsia="Arial" w:hAnsiTheme="minorHAnsi" w:cs="Arial"/>
          <w:color w:val="000000" w:themeColor="text1"/>
          <w:sz w:val="22"/>
        </w:rPr>
        <w:t xml:space="preserve">combustion residual leachate </w:t>
      </w:r>
      <w:r w:rsidR="00B73F05" w:rsidRPr="00A10E56">
        <w:rPr>
          <w:rFonts w:asciiTheme="minorHAnsi" w:eastAsia="Arial" w:hAnsiTheme="minorHAnsi" w:cs="Arial"/>
          <w:color w:val="000000" w:themeColor="text1"/>
          <w:sz w:val="22"/>
        </w:rPr>
        <w:t xml:space="preserve">based on physical-chemical treatment </w:t>
      </w:r>
      <w:r w:rsidR="009B12E0" w:rsidRPr="00A10E56">
        <w:rPr>
          <w:rFonts w:asciiTheme="minorHAnsi" w:eastAsia="Arial" w:hAnsiTheme="minorHAnsi" w:cs="Arial"/>
          <w:color w:val="000000" w:themeColor="text1"/>
          <w:sz w:val="22"/>
        </w:rPr>
        <w:t>and legacy wastewater</w:t>
      </w:r>
      <w:r w:rsidR="00B73F05" w:rsidRPr="00A10E56">
        <w:rPr>
          <w:rFonts w:asciiTheme="minorHAnsi" w:eastAsia="Arial" w:hAnsiTheme="minorHAnsi" w:cs="Arial"/>
          <w:color w:val="000000" w:themeColor="text1"/>
          <w:sz w:val="22"/>
        </w:rPr>
        <w:t xml:space="preserve"> based on </w:t>
      </w:r>
      <w:r w:rsidR="00E258E5" w:rsidRPr="00A10E56">
        <w:rPr>
          <w:rFonts w:asciiTheme="minorHAnsi" w:eastAsia="Arial" w:hAnsiTheme="minorHAnsi" w:cs="Arial"/>
          <w:color w:val="000000" w:themeColor="text1"/>
          <w:sz w:val="22"/>
        </w:rPr>
        <w:t>case-by-case determinations by the permitting authority</w:t>
      </w:r>
      <w:r w:rsidR="009B12E0" w:rsidRPr="00A10E56">
        <w:rPr>
          <w:rFonts w:asciiTheme="minorHAnsi" w:eastAsia="Arial" w:hAnsiTheme="minorHAnsi" w:cs="Arial"/>
          <w:color w:val="000000" w:themeColor="text1"/>
          <w:sz w:val="22"/>
        </w:rPr>
        <w:t>.</w:t>
      </w:r>
      <w:r w:rsidR="004A4E4B" w:rsidRPr="00A10E56">
        <w:rPr>
          <w:rFonts w:asciiTheme="minorHAnsi" w:eastAsia="Arial" w:hAnsiTheme="minorHAnsi" w:cs="Arial"/>
          <w:color w:val="000000" w:themeColor="text1"/>
          <w:sz w:val="22"/>
        </w:rPr>
        <w:t xml:space="preserve"> </w:t>
      </w:r>
      <w:r w:rsidR="00DA0DB5" w:rsidRPr="00A10E56">
        <w:rPr>
          <w:rFonts w:asciiTheme="minorHAnsi" w:eastAsia="Arial" w:hAnsiTheme="minorHAnsi" w:cs="Arial"/>
          <w:color w:val="000000" w:themeColor="text1"/>
          <w:sz w:val="22"/>
        </w:rPr>
        <w:t>Under t</w:t>
      </w:r>
      <w:r w:rsidR="00A8448E" w:rsidRPr="00A10E56">
        <w:rPr>
          <w:rFonts w:asciiTheme="minorHAnsi" w:eastAsia="Arial" w:hAnsiTheme="minorHAnsi" w:cs="Arial"/>
          <w:color w:val="000000" w:themeColor="text1"/>
          <w:sz w:val="22"/>
        </w:rPr>
        <w:t xml:space="preserve">he </w:t>
      </w:r>
      <w:r w:rsidR="00DA0DB5" w:rsidRPr="00A10E56">
        <w:rPr>
          <w:rFonts w:asciiTheme="minorHAnsi" w:eastAsia="Arial" w:hAnsiTheme="minorHAnsi" w:cs="Arial"/>
          <w:color w:val="000000" w:themeColor="text1"/>
          <w:sz w:val="22"/>
        </w:rPr>
        <w:t>proposal, the</w:t>
      </w:r>
      <w:r w:rsidR="00A8448E" w:rsidRPr="00A10E56">
        <w:rPr>
          <w:rFonts w:asciiTheme="minorHAnsi" w:eastAsia="Arial" w:hAnsiTheme="minorHAnsi" w:cs="Arial"/>
          <w:color w:val="000000" w:themeColor="text1"/>
          <w:sz w:val="22"/>
        </w:rPr>
        <w:t xml:space="preserve"> VIP option</w:t>
      </w:r>
      <w:r w:rsidR="00571086">
        <w:rPr>
          <w:rFonts w:asciiTheme="minorHAnsi" w:eastAsia="Arial" w:hAnsiTheme="minorHAnsi" w:cs="Arial"/>
          <w:color w:val="000000" w:themeColor="text1"/>
          <w:sz w:val="22"/>
        </w:rPr>
        <w:t xml:space="preserve"> and cessation of coal combustion subcategories would remain </w:t>
      </w:r>
      <w:r w:rsidR="00A8448E" w:rsidRPr="00A10E56">
        <w:rPr>
          <w:rFonts w:asciiTheme="minorHAnsi" w:eastAsia="Arial" w:hAnsiTheme="minorHAnsi" w:cs="Arial"/>
          <w:color w:val="000000" w:themeColor="text1"/>
          <w:sz w:val="22"/>
        </w:rPr>
        <w:t xml:space="preserve">unchanged. </w:t>
      </w:r>
      <w:r w:rsidR="004A4E4B" w:rsidRPr="00A10E56">
        <w:rPr>
          <w:rFonts w:asciiTheme="minorHAnsi" w:eastAsia="Arial" w:hAnsiTheme="minorHAnsi" w:cs="Arial"/>
          <w:color w:val="000000" w:themeColor="text1"/>
          <w:sz w:val="22"/>
        </w:rPr>
        <w:t xml:space="preserve">While EPA </w:t>
      </w:r>
      <w:r w:rsidR="00EF4DC2" w:rsidRPr="00A10E56">
        <w:rPr>
          <w:rFonts w:asciiTheme="minorHAnsi" w:eastAsia="Arial" w:hAnsiTheme="minorHAnsi" w:cs="Arial"/>
          <w:color w:val="000000" w:themeColor="text1"/>
          <w:sz w:val="22"/>
        </w:rPr>
        <w:t>specifies</w:t>
      </w:r>
      <w:r w:rsidR="004A4E4B" w:rsidRPr="00A10E56">
        <w:rPr>
          <w:rFonts w:asciiTheme="minorHAnsi" w:eastAsia="Arial" w:hAnsiTheme="minorHAnsi" w:cs="Arial"/>
          <w:color w:val="000000" w:themeColor="text1"/>
          <w:sz w:val="22"/>
        </w:rPr>
        <w:t xml:space="preserve"> a preferred option, there are a total of four </w:t>
      </w:r>
      <w:r w:rsidR="00DD47D9" w:rsidRPr="00A10E56">
        <w:rPr>
          <w:rFonts w:asciiTheme="minorHAnsi" w:eastAsia="Arial" w:hAnsiTheme="minorHAnsi" w:cs="Arial"/>
          <w:color w:val="000000" w:themeColor="text1"/>
          <w:sz w:val="22"/>
        </w:rPr>
        <w:t xml:space="preserve">different </w:t>
      </w:r>
      <w:r w:rsidR="004A4E4B" w:rsidRPr="00A10E56">
        <w:rPr>
          <w:rFonts w:asciiTheme="minorHAnsi" w:eastAsia="Arial" w:hAnsiTheme="minorHAnsi" w:cs="Arial"/>
          <w:color w:val="000000" w:themeColor="text1"/>
          <w:sz w:val="22"/>
        </w:rPr>
        <w:t xml:space="preserve">options in the proposal, including one that reflects </w:t>
      </w:r>
      <w:r w:rsidR="00DD47D9" w:rsidRPr="00A10E56">
        <w:rPr>
          <w:rFonts w:asciiTheme="minorHAnsi" w:eastAsia="Arial" w:hAnsiTheme="minorHAnsi" w:cs="Arial"/>
          <w:color w:val="000000" w:themeColor="text1"/>
          <w:sz w:val="22"/>
        </w:rPr>
        <w:t xml:space="preserve">maintaining </w:t>
      </w:r>
      <w:r w:rsidR="004A4E4B" w:rsidRPr="00A10E56">
        <w:rPr>
          <w:rFonts w:asciiTheme="minorHAnsi" w:eastAsia="Arial" w:hAnsiTheme="minorHAnsi" w:cs="Arial"/>
          <w:color w:val="000000" w:themeColor="text1"/>
          <w:sz w:val="22"/>
        </w:rPr>
        <w:t xml:space="preserve">the existing requirements in the </w:t>
      </w:r>
      <w:r w:rsidR="0067259A" w:rsidRPr="00A10E56">
        <w:rPr>
          <w:rFonts w:asciiTheme="minorHAnsi" w:eastAsia="Arial" w:hAnsiTheme="minorHAnsi" w:cs="Arial"/>
          <w:color w:val="000000" w:themeColor="text1"/>
          <w:sz w:val="22"/>
        </w:rPr>
        <w:t xml:space="preserve">2020 </w:t>
      </w:r>
      <w:r w:rsidR="004A4E4B" w:rsidRPr="00A10E56">
        <w:rPr>
          <w:rFonts w:asciiTheme="minorHAnsi" w:eastAsia="Arial" w:hAnsiTheme="minorHAnsi" w:cs="Arial"/>
          <w:color w:val="000000" w:themeColor="text1"/>
          <w:sz w:val="22"/>
        </w:rPr>
        <w:t>ELG Reconsideration Rule.</w:t>
      </w:r>
      <w:r w:rsidR="009B12E0" w:rsidRPr="00A10E56">
        <w:rPr>
          <w:rFonts w:eastAsia="Arial" w:cs="Arial"/>
          <w:color w:val="000000" w:themeColor="text1"/>
        </w:rPr>
        <w:t xml:space="preserve"> </w:t>
      </w:r>
      <w:r w:rsidR="00946A22" w:rsidRPr="00A10E56">
        <w:rPr>
          <w:rFonts w:asciiTheme="minorHAnsi" w:eastAsia="Arial" w:hAnsiTheme="minorHAnsi" w:cs="Arial"/>
          <w:color w:val="000000" w:themeColor="text1"/>
          <w:sz w:val="22"/>
        </w:rPr>
        <w:t xml:space="preserve">In the proposal, </w:t>
      </w:r>
      <w:r w:rsidR="008E1054" w:rsidRPr="00A10E56">
        <w:rPr>
          <w:rFonts w:asciiTheme="minorHAnsi" w:eastAsia="Arial" w:hAnsiTheme="minorHAnsi" w:cs="Arial"/>
          <w:color w:val="000000" w:themeColor="text1"/>
          <w:sz w:val="22"/>
        </w:rPr>
        <w:t xml:space="preserve">EPA states that facilities should continue to pursue their </w:t>
      </w:r>
      <w:r w:rsidR="00336380" w:rsidRPr="00A10E56">
        <w:rPr>
          <w:rFonts w:asciiTheme="minorHAnsi" w:eastAsia="Arial" w:hAnsiTheme="minorHAnsi" w:cs="Arial"/>
          <w:color w:val="000000" w:themeColor="text1"/>
          <w:sz w:val="22"/>
        </w:rPr>
        <w:t xml:space="preserve">2020 </w:t>
      </w:r>
      <w:r w:rsidR="0067259A" w:rsidRPr="00A10E56">
        <w:rPr>
          <w:rFonts w:asciiTheme="minorHAnsi" w:eastAsia="Arial" w:hAnsiTheme="minorHAnsi" w:cs="Arial"/>
          <w:color w:val="000000" w:themeColor="text1"/>
          <w:sz w:val="22"/>
        </w:rPr>
        <w:t xml:space="preserve">ELG </w:t>
      </w:r>
      <w:r w:rsidR="00336380" w:rsidRPr="00A10E56">
        <w:rPr>
          <w:rFonts w:asciiTheme="minorHAnsi" w:eastAsia="Arial" w:hAnsiTheme="minorHAnsi" w:cs="Arial"/>
          <w:color w:val="000000" w:themeColor="text1"/>
          <w:sz w:val="22"/>
        </w:rPr>
        <w:t xml:space="preserve">Reconsideration Rule </w:t>
      </w:r>
      <w:r w:rsidR="008E1054" w:rsidRPr="00A10E56">
        <w:rPr>
          <w:rFonts w:asciiTheme="minorHAnsi" w:eastAsia="Arial" w:hAnsiTheme="minorHAnsi" w:cs="Arial"/>
          <w:color w:val="000000" w:themeColor="text1"/>
          <w:sz w:val="22"/>
        </w:rPr>
        <w:t xml:space="preserve">compliance plans that are currently in progress, </w:t>
      </w:r>
      <w:proofErr w:type="gramStart"/>
      <w:r w:rsidR="008E1054" w:rsidRPr="00A10E56">
        <w:rPr>
          <w:rFonts w:asciiTheme="minorHAnsi" w:eastAsia="Arial" w:hAnsiTheme="minorHAnsi" w:cs="Arial"/>
          <w:color w:val="000000" w:themeColor="text1"/>
          <w:sz w:val="22"/>
        </w:rPr>
        <w:t>despite the fact that</w:t>
      </w:r>
      <w:proofErr w:type="gramEnd"/>
      <w:r w:rsidR="008E1054" w:rsidRPr="00A10E56">
        <w:rPr>
          <w:rFonts w:asciiTheme="minorHAnsi" w:eastAsia="Arial" w:hAnsiTheme="minorHAnsi" w:cs="Arial"/>
          <w:color w:val="000000" w:themeColor="text1"/>
          <w:sz w:val="22"/>
        </w:rPr>
        <w:t xml:space="preserve"> the proposal represents a significant change from current requirements.</w:t>
      </w:r>
      <w:r w:rsidR="00A42ADB" w:rsidRPr="00A10E56">
        <w:rPr>
          <w:rFonts w:asciiTheme="minorHAnsi" w:eastAsia="Arial" w:hAnsiTheme="minorHAnsi" w:cs="Arial"/>
          <w:color w:val="000000" w:themeColor="text1"/>
          <w:sz w:val="22"/>
        </w:rPr>
        <w:t xml:space="preserve"> </w:t>
      </w:r>
    </w:p>
    <w:p w14:paraId="3D904BF3" w14:textId="75EFA482" w:rsidR="00C01A5D" w:rsidRPr="009B12E0" w:rsidRDefault="00551A5A" w:rsidP="000A253B">
      <w:pPr>
        <w:pStyle w:val="ListParagraph"/>
        <w:numPr>
          <w:ilvl w:val="0"/>
          <w:numId w:val="3"/>
        </w:numPr>
        <w:spacing w:before="120" w:after="0"/>
        <w:rPr>
          <w:rFonts w:eastAsia="Arial" w:cs="Arial"/>
          <w:b/>
          <w:bCs/>
          <w:color w:val="000000" w:themeColor="text1"/>
        </w:rPr>
      </w:pPr>
      <w:r>
        <w:rPr>
          <w:rFonts w:asciiTheme="minorHAnsi" w:eastAsia="Arial" w:hAnsiTheme="minorHAnsi" w:cs="Arial"/>
          <w:color w:val="000000" w:themeColor="text1"/>
          <w:sz w:val="22"/>
        </w:rPr>
        <w:t xml:space="preserve">EPA is expected to issue a final ELG Supplemental Rule </w:t>
      </w:r>
      <w:r w:rsidR="008E1054">
        <w:rPr>
          <w:rFonts w:asciiTheme="minorHAnsi" w:eastAsia="Arial" w:hAnsiTheme="minorHAnsi" w:cs="Arial"/>
          <w:color w:val="000000" w:themeColor="text1"/>
          <w:sz w:val="22"/>
        </w:rPr>
        <w:t xml:space="preserve">by </w:t>
      </w:r>
      <w:r w:rsidR="00C41901">
        <w:rPr>
          <w:rFonts w:asciiTheme="minorHAnsi" w:eastAsia="Arial" w:hAnsiTheme="minorHAnsi" w:cs="Arial"/>
          <w:color w:val="000000" w:themeColor="text1"/>
          <w:sz w:val="22"/>
        </w:rPr>
        <w:t>s</w:t>
      </w:r>
      <w:r w:rsidR="00414C05">
        <w:rPr>
          <w:rFonts w:asciiTheme="minorHAnsi" w:eastAsia="Arial" w:hAnsiTheme="minorHAnsi" w:cs="Arial"/>
          <w:color w:val="000000" w:themeColor="text1"/>
          <w:sz w:val="22"/>
        </w:rPr>
        <w:t>pring</w:t>
      </w:r>
      <w:r w:rsidR="00941574">
        <w:rPr>
          <w:rFonts w:asciiTheme="minorHAnsi" w:eastAsia="Arial" w:hAnsiTheme="minorHAnsi" w:cs="Arial"/>
          <w:color w:val="000000" w:themeColor="text1"/>
          <w:sz w:val="22"/>
        </w:rPr>
        <w:t xml:space="preserve"> 2024.</w:t>
      </w:r>
    </w:p>
    <w:p w14:paraId="50208FC8" w14:textId="329E9C24" w:rsidR="007819DB" w:rsidRPr="00840D0F" w:rsidRDefault="007819DB" w:rsidP="007819DB">
      <w:pPr>
        <w:spacing w:before="120" w:after="0" w:line="240" w:lineRule="auto"/>
        <w:rPr>
          <w:rFonts w:asciiTheme="majorHAnsi" w:eastAsiaTheme="majorEastAsia" w:hAnsiTheme="majorHAnsi" w:cstheme="majorBidi"/>
          <w:b/>
          <w:bCs/>
          <w:color w:val="2F5496" w:themeColor="accent1" w:themeShade="BF"/>
          <w:sz w:val="24"/>
          <w:szCs w:val="24"/>
          <w:u w:val="single"/>
        </w:rPr>
      </w:pPr>
      <w:r>
        <w:rPr>
          <w:rFonts w:asciiTheme="majorHAnsi" w:eastAsiaTheme="majorEastAsia" w:hAnsiTheme="majorHAnsi" w:cstheme="majorBidi"/>
          <w:b/>
          <w:bCs/>
          <w:color w:val="2F5496" w:themeColor="accent1" w:themeShade="BF"/>
          <w:sz w:val="24"/>
          <w:szCs w:val="24"/>
          <w:u w:val="single"/>
        </w:rPr>
        <w:t>ELG</w:t>
      </w:r>
      <w:r w:rsidRPr="00840D0F">
        <w:rPr>
          <w:rFonts w:asciiTheme="majorHAnsi" w:eastAsiaTheme="majorEastAsia" w:hAnsiTheme="majorHAnsi" w:cstheme="majorBidi"/>
          <w:b/>
          <w:bCs/>
          <w:color w:val="2F5496" w:themeColor="accent1" w:themeShade="BF"/>
          <w:sz w:val="24"/>
          <w:szCs w:val="24"/>
          <w:u w:val="single"/>
        </w:rPr>
        <w:t xml:space="preserve"> Compliance Strategy </w:t>
      </w:r>
    </w:p>
    <w:p w14:paraId="65BB6E9B" w14:textId="1F714BF9" w:rsidR="00AC6B6F" w:rsidRDefault="00AC6B6F" w:rsidP="00C942DB">
      <w:pPr>
        <w:tabs>
          <w:tab w:val="center" w:pos="4392"/>
        </w:tabs>
        <w:suppressAutoHyphens/>
        <w:spacing w:before="120" w:after="0" w:line="240" w:lineRule="auto"/>
      </w:pPr>
      <w:r w:rsidRPr="00AC6B6F">
        <w:t xml:space="preserve">The Company’s strategy for compliance for </w:t>
      </w:r>
      <w:r w:rsidR="00DF7EB9">
        <w:t>ELG</w:t>
      </w:r>
      <w:r w:rsidR="00762847">
        <w:t xml:space="preserve"> requirements</w:t>
      </w:r>
      <w:r w:rsidR="00DF7EB9">
        <w:t xml:space="preserve"> for fly ash and bottom ash </w:t>
      </w:r>
      <w:r w:rsidR="002C6989">
        <w:t xml:space="preserve">waste streams </w:t>
      </w:r>
      <w:r w:rsidR="00DF7EB9">
        <w:t xml:space="preserve">necessarily considered the state and </w:t>
      </w:r>
      <w:r w:rsidR="00720054">
        <w:t>f</w:t>
      </w:r>
      <w:r w:rsidR="00DF7EB9">
        <w:t>ederal CCR rules</w:t>
      </w:r>
      <w:r w:rsidR="00AA4EEC">
        <w:t>,</w:t>
      </w:r>
      <w:r w:rsidR="00D14569">
        <w:t xml:space="preserve"> as well as ELG requirements</w:t>
      </w:r>
      <w:r w:rsidR="002C6989">
        <w:t xml:space="preserve">. To meet </w:t>
      </w:r>
      <w:r w:rsidR="00DF7EB9">
        <w:t xml:space="preserve">the timing </w:t>
      </w:r>
      <w:r w:rsidR="00DF615B">
        <w:t xml:space="preserve">requirements </w:t>
      </w:r>
      <w:r w:rsidR="002C6989">
        <w:t xml:space="preserve">for </w:t>
      </w:r>
      <w:r w:rsidR="00132EDB">
        <w:t xml:space="preserve">the </w:t>
      </w:r>
      <w:r w:rsidR="002C6989">
        <w:t>CCR rules, fly ash and bottom ash handling projects were completed by 2019</w:t>
      </w:r>
      <w:r w:rsidR="005B60B2">
        <w:t xml:space="preserve"> </w:t>
      </w:r>
      <w:proofErr w:type="gramStart"/>
      <w:r w:rsidR="005B60B2">
        <w:t>in order to</w:t>
      </w:r>
      <w:proofErr w:type="gramEnd"/>
      <w:r w:rsidR="005B60B2">
        <w:t xml:space="preserve"> cease ongoing use of the ash ponds</w:t>
      </w:r>
      <w:r w:rsidR="002C6989">
        <w:t>.</w:t>
      </w:r>
      <w:r w:rsidR="002C28AC">
        <w:t xml:space="preserve"> For </w:t>
      </w:r>
      <w:r w:rsidRPr="00AC6B6F">
        <w:t>fly ash</w:t>
      </w:r>
      <w:r w:rsidR="002C28AC">
        <w:t>, projects</w:t>
      </w:r>
      <w:r w:rsidRPr="00AC6B6F">
        <w:t xml:space="preserve"> include</w:t>
      </w:r>
      <w:r w:rsidR="002C28AC">
        <w:t>d</w:t>
      </w:r>
      <w:r w:rsidRPr="00AC6B6F">
        <w:t xml:space="preserve"> conversions to pneumatic (dry handling) systems that convey ash via vacuum/blowers to collection hoppers and silos for </w:t>
      </w:r>
      <w:r w:rsidR="00B94E91">
        <w:t xml:space="preserve">beneficial </w:t>
      </w:r>
      <w:r w:rsidRPr="00AC6B6F">
        <w:t>reuse or disposal at Plants Bowen</w:t>
      </w:r>
      <w:r w:rsidR="00796550">
        <w:t xml:space="preserve"> and</w:t>
      </w:r>
      <w:r w:rsidRPr="00AC6B6F">
        <w:t xml:space="preserve"> Scherer. </w:t>
      </w:r>
      <w:r w:rsidR="00F161CD">
        <w:t xml:space="preserve">Compliance options to meet </w:t>
      </w:r>
      <w:r w:rsidRPr="00AC6B6F">
        <w:t>zero discharge of bottom ash include</w:t>
      </w:r>
      <w:r w:rsidR="00F161CD">
        <w:t>d</w:t>
      </w:r>
      <w:r w:rsidRPr="00AC6B6F">
        <w:t xml:space="preserve"> either an under-boiler or remote system</w:t>
      </w:r>
      <w:r w:rsidR="00A13973">
        <w:t xml:space="preserve">. The technology decision for each site </w:t>
      </w:r>
      <w:r w:rsidR="00CE0C1F">
        <w:t>was</w:t>
      </w:r>
      <w:r w:rsidRPr="00AC6B6F">
        <w:t xml:space="preserve"> primarily determined by space availability and headroom constraints under the boiler. The Company’s strategy for bottom ash transport water compliance </w:t>
      </w:r>
      <w:r w:rsidR="00D03C64">
        <w:t>wa</w:t>
      </w:r>
      <w:r w:rsidRPr="00AC6B6F">
        <w:t>s</w:t>
      </w:r>
      <w:r w:rsidR="00D03C64">
        <w:t xml:space="preserve"> installation of</w:t>
      </w:r>
      <w:r w:rsidRPr="00AC6B6F">
        <w:t xml:space="preserve"> </w:t>
      </w:r>
      <w:r w:rsidR="006A73C6">
        <w:t>“</w:t>
      </w:r>
      <w:r w:rsidRPr="00AC6B6F">
        <w:t>dry</w:t>
      </w:r>
      <w:r w:rsidR="006A73C6">
        <w:t>”</w:t>
      </w:r>
      <w:r w:rsidRPr="00AC6B6F">
        <w:t xml:space="preserve"> handling Magaldi A</w:t>
      </w:r>
      <w:r w:rsidR="00363A9D">
        <w:t>sh</w:t>
      </w:r>
      <w:r w:rsidRPr="00AC6B6F">
        <w:t xml:space="preserve"> Coolers (“MACs”) at Plant Scherer and </w:t>
      </w:r>
      <w:r w:rsidR="005E5475">
        <w:t>“</w:t>
      </w:r>
      <w:r w:rsidRPr="00AC6B6F">
        <w:t>wet</w:t>
      </w:r>
      <w:r w:rsidR="005E5475">
        <w:t>”</w:t>
      </w:r>
      <w:r w:rsidRPr="00AC6B6F">
        <w:t xml:space="preserve"> </w:t>
      </w:r>
      <w:r w:rsidR="00F748EF">
        <w:t>r</w:t>
      </w:r>
      <w:r w:rsidRPr="00AC6B6F">
        <w:t xml:space="preserve">emote </w:t>
      </w:r>
      <w:r w:rsidR="00F748EF">
        <w:t>m</w:t>
      </w:r>
      <w:r w:rsidRPr="00AC6B6F">
        <w:t xml:space="preserve">echanical </w:t>
      </w:r>
      <w:r w:rsidR="00F748EF">
        <w:t>d</w:t>
      </w:r>
      <w:r w:rsidRPr="00AC6B6F">
        <w:t xml:space="preserve">rag </w:t>
      </w:r>
      <w:r w:rsidR="00F748EF">
        <w:t>c</w:t>
      </w:r>
      <w:r w:rsidRPr="00AC6B6F">
        <w:t xml:space="preserve">hains (“RMDCs”) at Plant Bowen. </w:t>
      </w:r>
      <w:r w:rsidR="00D244A7">
        <w:t>In addition to ash management projects, the Company implemented changes and/or additions to low volume wastewater treatment syst</w:t>
      </w:r>
      <w:r w:rsidR="00654D3D">
        <w:t>e</w:t>
      </w:r>
      <w:r w:rsidR="00D244A7">
        <w:t>ms</w:t>
      </w:r>
      <w:r w:rsidR="00654D3D">
        <w:t xml:space="preserve"> at all affected sites </w:t>
      </w:r>
      <w:proofErr w:type="gramStart"/>
      <w:r w:rsidR="00654D3D">
        <w:t>in order to</w:t>
      </w:r>
      <w:proofErr w:type="gramEnd"/>
      <w:r w:rsidR="00654D3D">
        <w:t xml:space="preserve"> </w:t>
      </w:r>
      <w:r w:rsidR="00457CD5">
        <w:t>cease ongoing use of the ash ponds.</w:t>
      </w:r>
    </w:p>
    <w:p w14:paraId="173CA3BE" w14:textId="53CB7FA8" w:rsidR="008B53FE" w:rsidRDefault="004F4A0F" w:rsidP="00C942DB">
      <w:pPr>
        <w:spacing w:before="120" w:after="0" w:line="240" w:lineRule="auto"/>
      </w:pPr>
      <w:r w:rsidRPr="006F1023">
        <w:t>Compliance</w:t>
      </w:r>
      <w:r w:rsidRPr="0084296F">
        <w:t xml:space="preserve"> with the </w:t>
      </w:r>
      <w:r>
        <w:t>ELG</w:t>
      </w:r>
      <w:r w:rsidR="007E4B3D">
        <w:t xml:space="preserve"> Reconsideration Rule</w:t>
      </w:r>
      <w:r>
        <w:t xml:space="preserve"> for </w:t>
      </w:r>
      <w:r w:rsidR="00E34903">
        <w:t>scrubber</w:t>
      </w:r>
      <w:r>
        <w:t xml:space="preserve"> wastewater</w:t>
      </w:r>
      <w:r w:rsidRPr="0084296F">
        <w:t xml:space="preserve"> </w:t>
      </w:r>
      <w:r w:rsidRPr="37612734">
        <w:rPr>
          <w:rFonts w:cs="Arial"/>
        </w:rPr>
        <w:t xml:space="preserve">is a site-specific effort that </w:t>
      </w:r>
      <w:r w:rsidR="006E7860">
        <w:rPr>
          <w:rFonts w:cs="Arial"/>
        </w:rPr>
        <w:t>requires</w:t>
      </w:r>
      <w:r w:rsidRPr="37612734">
        <w:rPr>
          <w:rFonts w:cs="Arial"/>
        </w:rPr>
        <w:t xml:space="preserve"> a tailored design for the </w:t>
      </w:r>
      <w:r w:rsidR="00947A4D">
        <w:rPr>
          <w:rFonts w:cs="Arial"/>
        </w:rPr>
        <w:t>facility</w:t>
      </w:r>
      <w:r w:rsidRPr="37612734">
        <w:rPr>
          <w:rFonts w:cs="Arial"/>
        </w:rPr>
        <w:t xml:space="preserve">’s water chemistry and water volume needs, as well as site-specific </w:t>
      </w:r>
      <w:r w:rsidRPr="37612734">
        <w:rPr>
          <w:rFonts w:cs="Arial"/>
        </w:rPr>
        <w:lastRenderedPageBreak/>
        <w:t xml:space="preserve">logistics and space availability. </w:t>
      </w:r>
      <w:r w:rsidR="00E84D73">
        <w:rPr>
          <w:bCs/>
        </w:rPr>
        <w:t xml:space="preserve">After evaluation of </w:t>
      </w:r>
      <w:r w:rsidR="00BE3E3C" w:rsidRPr="0016047A">
        <w:rPr>
          <w:bCs/>
        </w:rPr>
        <w:t xml:space="preserve">the different compliance pathways allowed by the </w:t>
      </w:r>
      <w:r w:rsidR="003E56DC">
        <w:rPr>
          <w:bCs/>
        </w:rPr>
        <w:t>ELG Reconsideration R</w:t>
      </w:r>
      <w:r w:rsidR="00BE3E3C" w:rsidRPr="0016047A">
        <w:rPr>
          <w:bCs/>
        </w:rPr>
        <w:t>ule</w:t>
      </w:r>
      <w:r w:rsidR="005C1D0A">
        <w:rPr>
          <w:bCs/>
        </w:rPr>
        <w:t>,</w:t>
      </w:r>
      <w:r w:rsidR="00BE3E3C">
        <w:rPr>
          <w:bCs/>
        </w:rPr>
        <w:t xml:space="preserve"> </w:t>
      </w:r>
      <w:r w:rsidR="005C1D0A">
        <w:rPr>
          <w:bCs/>
        </w:rPr>
        <w:t xml:space="preserve">the Company </w:t>
      </w:r>
      <w:r w:rsidR="00BE3E3C" w:rsidRPr="0016047A">
        <w:rPr>
          <w:bCs/>
        </w:rPr>
        <w:t xml:space="preserve">filed </w:t>
      </w:r>
      <w:r w:rsidR="003E56DC">
        <w:rPr>
          <w:bCs/>
        </w:rPr>
        <w:t xml:space="preserve">NOPPs </w:t>
      </w:r>
      <w:r w:rsidR="00BE3E3C">
        <w:rPr>
          <w:bCs/>
        </w:rPr>
        <w:t>with Georgia EPD</w:t>
      </w:r>
      <w:r w:rsidR="005C1D0A">
        <w:rPr>
          <w:bCs/>
        </w:rPr>
        <w:t xml:space="preserve"> by the required October 13, 2021</w:t>
      </w:r>
      <w:r w:rsidR="005A7C3C">
        <w:rPr>
          <w:bCs/>
        </w:rPr>
        <w:t>,</w:t>
      </w:r>
      <w:r w:rsidR="005C1D0A">
        <w:rPr>
          <w:bCs/>
        </w:rPr>
        <w:t xml:space="preserve"> deadline</w:t>
      </w:r>
      <w:r w:rsidR="00BE3E3C" w:rsidRPr="0016047A">
        <w:rPr>
          <w:bCs/>
        </w:rPr>
        <w:t xml:space="preserve">.  </w:t>
      </w:r>
      <w:r w:rsidR="00F40E5A">
        <w:rPr>
          <w:bCs/>
        </w:rPr>
        <w:t>T</w:t>
      </w:r>
      <w:r w:rsidR="00BE3E3C">
        <w:rPr>
          <w:bCs/>
        </w:rPr>
        <w:t>hese</w:t>
      </w:r>
      <w:r w:rsidR="00BE3E3C" w:rsidRPr="0016047A">
        <w:rPr>
          <w:bCs/>
        </w:rPr>
        <w:t xml:space="preserve"> filing</w:t>
      </w:r>
      <w:r w:rsidR="00BE3E3C">
        <w:rPr>
          <w:bCs/>
        </w:rPr>
        <w:t>s</w:t>
      </w:r>
      <w:r w:rsidR="00F40E5A">
        <w:rPr>
          <w:bCs/>
        </w:rPr>
        <w:t xml:space="preserve"> </w:t>
      </w:r>
      <w:r w:rsidR="00BE3E3C">
        <w:rPr>
          <w:bCs/>
        </w:rPr>
        <w:t xml:space="preserve">notified Georgia EPD of </w:t>
      </w:r>
      <w:r w:rsidR="00F40E5A">
        <w:rPr>
          <w:bCs/>
        </w:rPr>
        <w:t>the Company’s</w:t>
      </w:r>
      <w:r w:rsidR="00BE3E3C" w:rsidRPr="008D7211">
        <w:rPr>
          <w:rFonts w:cs="Arial"/>
          <w:szCs w:val="24"/>
        </w:rPr>
        <w:t xml:space="preserve"> intent to permanently cease coal combustion no later than December 31, 2028, for </w:t>
      </w:r>
      <w:r w:rsidR="00BE3E3C">
        <w:rPr>
          <w:rFonts w:cs="Arial"/>
          <w:szCs w:val="24"/>
        </w:rPr>
        <w:t>Plant Bowen</w:t>
      </w:r>
      <w:r w:rsidR="00BE3E3C" w:rsidRPr="008D7211">
        <w:rPr>
          <w:rFonts w:cs="Arial"/>
          <w:szCs w:val="24"/>
        </w:rPr>
        <w:t xml:space="preserve"> Units 1 and 2, </w:t>
      </w:r>
      <w:r w:rsidR="00BE3E3C">
        <w:rPr>
          <w:rFonts w:cs="Arial"/>
          <w:szCs w:val="24"/>
        </w:rPr>
        <w:t>Plant Scherer</w:t>
      </w:r>
      <w:r w:rsidR="00BE3E3C" w:rsidRPr="008D7211">
        <w:rPr>
          <w:rFonts w:cs="Arial"/>
          <w:szCs w:val="24"/>
        </w:rPr>
        <w:t xml:space="preserve"> Unit 3, and </w:t>
      </w:r>
      <w:r w:rsidR="00BE3E3C">
        <w:rPr>
          <w:rFonts w:cs="Arial"/>
          <w:szCs w:val="24"/>
        </w:rPr>
        <w:t>Plant Wansley</w:t>
      </w:r>
      <w:r w:rsidR="00BE3E3C" w:rsidRPr="008D7211">
        <w:rPr>
          <w:rFonts w:cs="Arial"/>
          <w:szCs w:val="24"/>
        </w:rPr>
        <w:t xml:space="preserve"> Units 1 and 2</w:t>
      </w:r>
      <w:r w:rsidR="00B70BEF">
        <w:rPr>
          <w:rFonts w:cs="Arial"/>
          <w:szCs w:val="24"/>
        </w:rPr>
        <w:t xml:space="preserve">; </w:t>
      </w:r>
      <w:r w:rsidR="00BE3E3C" w:rsidRPr="008D7211">
        <w:rPr>
          <w:rFonts w:cs="Arial"/>
          <w:szCs w:val="24"/>
        </w:rPr>
        <w:t xml:space="preserve">to pursue ELG compliance </w:t>
      </w:r>
      <w:r w:rsidR="00724ACB">
        <w:rPr>
          <w:rFonts w:cs="Arial"/>
          <w:szCs w:val="24"/>
        </w:rPr>
        <w:t xml:space="preserve">for Plant Scherer Units 1 and 2 </w:t>
      </w:r>
      <w:r w:rsidR="00BE3E3C" w:rsidRPr="008D7211">
        <w:rPr>
          <w:rFonts w:cs="Arial"/>
          <w:szCs w:val="24"/>
        </w:rPr>
        <w:t xml:space="preserve">through the </w:t>
      </w:r>
      <w:r w:rsidR="00E2262C">
        <w:rPr>
          <w:rFonts w:cs="Arial"/>
          <w:szCs w:val="24"/>
        </w:rPr>
        <w:t xml:space="preserve">VIP </w:t>
      </w:r>
      <w:r w:rsidR="00BE3E3C" w:rsidRPr="008D7211">
        <w:rPr>
          <w:rFonts w:cs="Arial"/>
          <w:szCs w:val="24"/>
        </w:rPr>
        <w:t>subcategory with a compliance deadline of December 31, 2028</w:t>
      </w:r>
      <w:r w:rsidR="004A697B">
        <w:rPr>
          <w:rFonts w:cs="Arial"/>
          <w:szCs w:val="24"/>
        </w:rPr>
        <w:t>;</w:t>
      </w:r>
      <w:r w:rsidR="001D2C83">
        <w:rPr>
          <w:rFonts w:cs="Arial"/>
          <w:szCs w:val="24"/>
        </w:rPr>
        <w:t xml:space="preserve"> and</w:t>
      </w:r>
      <w:r w:rsidR="00FA24EF">
        <w:rPr>
          <w:rFonts w:cs="Arial"/>
          <w:szCs w:val="24"/>
        </w:rPr>
        <w:t xml:space="preserve"> </w:t>
      </w:r>
      <w:r w:rsidR="00BE3E3C" w:rsidRPr="008D7211">
        <w:rPr>
          <w:rFonts w:cs="Arial"/>
          <w:szCs w:val="24"/>
        </w:rPr>
        <w:t xml:space="preserve">to comply with the generally applicable requirements </w:t>
      </w:r>
      <w:r w:rsidR="00724ACB">
        <w:rPr>
          <w:rFonts w:cs="Arial"/>
          <w:szCs w:val="24"/>
        </w:rPr>
        <w:t xml:space="preserve">for Plant Bowen Units 3 and 4 </w:t>
      </w:r>
      <w:r w:rsidR="00BE3E3C" w:rsidRPr="008D7211">
        <w:rPr>
          <w:rFonts w:cs="Arial"/>
          <w:szCs w:val="24"/>
        </w:rPr>
        <w:t>by December 31, 2025.</w:t>
      </w:r>
      <w:r w:rsidR="00FA24EF">
        <w:rPr>
          <w:rFonts w:cs="Arial"/>
          <w:szCs w:val="24"/>
        </w:rPr>
        <w:t xml:space="preserve"> For Plant Gaston Units 1-4, a</w:t>
      </w:r>
      <w:r w:rsidR="00BE3E3C" w:rsidRPr="00BE3E3C">
        <w:t xml:space="preserve"> NOPP was submitted to </w:t>
      </w:r>
      <w:r w:rsidR="00236831">
        <w:t>ADEM</w:t>
      </w:r>
      <w:r w:rsidR="00BE3E3C" w:rsidRPr="00BE3E3C">
        <w:t xml:space="preserve"> </w:t>
      </w:r>
      <w:r w:rsidR="00FA24EF">
        <w:t xml:space="preserve">indicating </w:t>
      </w:r>
      <w:r w:rsidR="00BE3E3C" w:rsidRPr="00BE3E3C">
        <w:t>the intent to permanently cease</w:t>
      </w:r>
      <w:r w:rsidR="00BE3E3C" w:rsidRPr="00BE3E3C" w:rsidDel="007931CF">
        <w:t xml:space="preserve"> </w:t>
      </w:r>
      <w:r w:rsidR="00BE3E3C" w:rsidRPr="00BE3E3C">
        <w:t xml:space="preserve">coal combustion through retirement by December 31, 2028. </w:t>
      </w:r>
      <w:r w:rsidR="682869BE" w:rsidRPr="4DD55046">
        <w:t xml:space="preserve">In the 2022 IRP, the Commission approved the retirements of </w:t>
      </w:r>
      <w:r w:rsidR="58EAAC95" w:rsidRPr="4DD55046">
        <w:t xml:space="preserve">Plant </w:t>
      </w:r>
      <w:r w:rsidR="682869BE" w:rsidRPr="4DD55046">
        <w:t>Wansley Units 1 and 2</w:t>
      </w:r>
      <w:r w:rsidR="00876B98">
        <w:t xml:space="preserve"> in August 2022</w:t>
      </w:r>
      <w:r w:rsidR="0BB9BD7B" w:rsidRPr="4DD55046">
        <w:t xml:space="preserve">, </w:t>
      </w:r>
      <w:r w:rsidR="00876B98">
        <w:t xml:space="preserve">and </w:t>
      </w:r>
      <w:r w:rsidR="00876B98" w:rsidRPr="4DD55046">
        <w:t>Plant Scherer Unit 3</w:t>
      </w:r>
      <w:r w:rsidR="00876B98">
        <w:rPr>
          <w:bCs/>
        </w:rPr>
        <w:t xml:space="preserve"> </w:t>
      </w:r>
      <w:r w:rsidR="0BB9BD7B" w:rsidRPr="4DD55046">
        <w:t>and Plant</w:t>
      </w:r>
      <w:r w:rsidR="0984445F">
        <w:rPr>
          <w:bCs/>
        </w:rPr>
        <w:t> </w:t>
      </w:r>
      <w:r w:rsidR="0BB9BD7B" w:rsidRPr="4DD55046">
        <w:t>Gaston Units</w:t>
      </w:r>
      <w:r w:rsidR="77802949">
        <w:rPr>
          <w:bCs/>
        </w:rPr>
        <w:t> </w:t>
      </w:r>
      <w:r w:rsidR="0BB9BD7B" w:rsidRPr="4DD55046">
        <w:t>1</w:t>
      </w:r>
      <w:r w:rsidR="1322A2E3" w:rsidRPr="4DD55046">
        <w:t>-</w:t>
      </w:r>
      <w:r w:rsidR="0BB9BD7B">
        <w:t>4</w:t>
      </w:r>
      <w:r w:rsidR="00876B98">
        <w:t xml:space="preserve"> by December 31, 2028</w:t>
      </w:r>
      <w:r w:rsidR="682869BE">
        <w:rPr>
          <w:bCs/>
        </w:rPr>
        <w:t xml:space="preserve">. </w:t>
      </w:r>
      <w:r w:rsidR="682869BE" w:rsidRPr="4DD55046">
        <w:t>The Commission deferred the decision for retirement of Plant Bowen Units 1 and 2</w:t>
      </w:r>
      <w:r w:rsidR="1EA3B69D" w:rsidRPr="4DD55046">
        <w:t xml:space="preserve"> to the 2025 IRP</w:t>
      </w:r>
      <w:r w:rsidR="682869BE" w:rsidRPr="4DD55046">
        <w:t xml:space="preserve">. </w:t>
      </w:r>
    </w:p>
    <w:p w14:paraId="171D6C7C" w14:textId="3CEBC4B0" w:rsidR="00BE3E3C" w:rsidRPr="00E51F50" w:rsidRDefault="00991F0C" w:rsidP="00C942DB">
      <w:pPr>
        <w:spacing w:before="120" w:after="0" w:line="240" w:lineRule="auto"/>
      </w:pPr>
      <w:r w:rsidRPr="00991F0C">
        <w:t xml:space="preserve">In October 2023, the Company filed a 2023 IRP Update in response to extraordinary load growth and an accelerated capacity need beginning in the winter of 2025/2026 – a full three years earlier than projected in the 2022 IRP. With the </w:t>
      </w:r>
      <w:r w:rsidR="003D6210">
        <w:t>continuing</w:t>
      </w:r>
      <w:r w:rsidRPr="00991F0C">
        <w:t xml:space="preserve"> increase to the Company’s projected load forecast and the magnitude of capacity needs in 2028 and beyond, for planning purposes, the Company assumed a retirement date at the end of 2035 for Plant Bowen Units 1-2. The Company </w:t>
      </w:r>
      <w:r w:rsidR="00F26130">
        <w:t xml:space="preserve">also reviewed capacity needs in a scenario in which Plant Scherer Unit 3 and Plant Gaston Units 1-4 continue operating through 2035. </w:t>
      </w:r>
      <w:r w:rsidR="00F0423B">
        <w:t>T</w:t>
      </w:r>
      <w:r w:rsidR="00F0423B">
        <w:rPr>
          <w:rStyle w:val="normaltextrun"/>
          <w:rFonts w:ascii="Calibri" w:hAnsi="Calibri" w:cs="Calibri"/>
          <w:color w:val="000000"/>
          <w:shd w:val="clear" w:color="auto" w:fill="FFFFFF"/>
        </w:rPr>
        <w:t xml:space="preserve">he Company </w:t>
      </w:r>
      <w:r w:rsidR="00685E21">
        <w:rPr>
          <w:rStyle w:val="normaltextrun"/>
          <w:rFonts w:ascii="Calibri" w:hAnsi="Calibri" w:cs="Calibri"/>
          <w:color w:val="000000"/>
          <w:shd w:val="clear" w:color="auto" w:fill="FFFFFF"/>
        </w:rPr>
        <w:t>expects</w:t>
      </w:r>
      <w:r w:rsidR="00CD336A">
        <w:rPr>
          <w:rStyle w:val="normaltextrun"/>
          <w:rFonts w:ascii="Calibri" w:hAnsi="Calibri" w:cs="Calibri"/>
          <w:color w:val="000000"/>
          <w:shd w:val="clear" w:color="auto" w:fill="FFFFFF"/>
        </w:rPr>
        <w:t xml:space="preserve"> to make a formal recommendation in the 2025 IRP on the retirement or continued operation</w:t>
      </w:r>
      <w:r w:rsidR="00C83CA6">
        <w:rPr>
          <w:rStyle w:val="normaltextrun"/>
          <w:rFonts w:ascii="Calibri" w:hAnsi="Calibri" w:cs="Calibri"/>
          <w:color w:val="000000"/>
          <w:shd w:val="clear" w:color="auto" w:fill="FFFFFF"/>
        </w:rPr>
        <w:t>s for Plant Bowen Units 1 and 2, as well as evaluate extending the operation</w:t>
      </w:r>
      <w:r w:rsidR="00E62733">
        <w:rPr>
          <w:rStyle w:val="normaltextrun"/>
          <w:rFonts w:ascii="Calibri" w:hAnsi="Calibri" w:cs="Calibri"/>
          <w:color w:val="000000"/>
          <w:shd w:val="clear" w:color="auto" w:fill="FFFFFF"/>
        </w:rPr>
        <w:t xml:space="preserve"> of Plant Scherer 3 and Plant Gaston Units 1 through 4 beyond the retirement dates in 2028</w:t>
      </w:r>
      <w:r w:rsidR="00F0423B">
        <w:rPr>
          <w:rStyle w:val="normaltextrun"/>
          <w:rFonts w:ascii="Calibri" w:hAnsi="Calibri" w:cs="Calibri"/>
          <w:color w:val="000000"/>
          <w:shd w:val="clear" w:color="auto" w:fill="FFFFFF"/>
        </w:rPr>
        <w:t xml:space="preserve">. </w:t>
      </w:r>
      <w:r w:rsidR="682869BE" w:rsidRPr="4DD55046">
        <w:t xml:space="preserve">While the Company’s </w:t>
      </w:r>
      <w:r w:rsidR="00C465C6">
        <w:t xml:space="preserve">proposed </w:t>
      </w:r>
      <w:r w:rsidR="682869BE" w:rsidRPr="4DD55046">
        <w:t>NOPP</w:t>
      </w:r>
      <w:r w:rsidR="001B2B70">
        <w:t>s</w:t>
      </w:r>
      <w:r w:rsidR="682869BE" w:rsidRPr="4DD55046">
        <w:t xml:space="preserve"> for </w:t>
      </w:r>
      <w:r w:rsidR="00C10F07">
        <w:t xml:space="preserve">these units </w:t>
      </w:r>
      <w:r w:rsidR="00A048DE">
        <w:t xml:space="preserve">indicated </w:t>
      </w:r>
      <w:r w:rsidR="682869BE" w:rsidRPr="4DD55046">
        <w:t xml:space="preserve">the </w:t>
      </w:r>
      <w:r w:rsidR="00A048DE">
        <w:t xml:space="preserve">planned </w:t>
      </w:r>
      <w:r w:rsidR="682869BE" w:rsidRPr="4DD55046">
        <w:t xml:space="preserve">cessation of coal combustion by 2028, </w:t>
      </w:r>
      <w:r w:rsidR="085A1D2B" w:rsidRPr="4DD55046">
        <w:t xml:space="preserve">the PSC’s decision-making </w:t>
      </w:r>
      <w:r w:rsidR="3BAD6F06" w:rsidRPr="4DD55046">
        <w:t xml:space="preserve">related to the </w:t>
      </w:r>
      <w:r w:rsidR="48F9E53A" w:rsidRPr="4DD55046">
        <w:t>operation</w:t>
      </w:r>
      <w:r w:rsidR="3BAD6F06" w:rsidRPr="4DD55046">
        <w:t xml:space="preserve"> of these units </w:t>
      </w:r>
      <w:r w:rsidR="000C66AE">
        <w:t xml:space="preserve">will ultimately be a factor </w:t>
      </w:r>
      <w:r w:rsidR="000C66AE" w:rsidRPr="4DD55046">
        <w:t xml:space="preserve">Georgia EPD </w:t>
      </w:r>
      <w:r w:rsidR="000C66AE">
        <w:t>and ADEM</w:t>
      </w:r>
      <w:r w:rsidR="000C66AE" w:rsidRPr="4DD55046">
        <w:t xml:space="preserve"> must consider</w:t>
      </w:r>
      <w:r w:rsidR="085A1D2B" w:rsidRPr="4DD55046">
        <w:t xml:space="preserve">. </w:t>
      </w:r>
      <w:r w:rsidR="7A77875C" w:rsidRPr="4DD55046">
        <w:t>In addition</w:t>
      </w:r>
      <w:r w:rsidR="6E3B1234">
        <w:rPr>
          <w:bCs/>
        </w:rPr>
        <w:t xml:space="preserve">, </w:t>
      </w:r>
      <w:r w:rsidR="4EB5CA60" w:rsidRPr="4DD55046">
        <w:t xml:space="preserve">due to the </w:t>
      </w:r>
      <w:r w:rsidR="4B32AC55" w:rsidRPr="4DD55046">
        <w:t>site</w:t>
      </w:r>
      <w:r w:rsidR="7F53A737">
        <w:rPr>
          <w:bCs/>
        </w:rPr>
        <w:t>-</w:t>
      </w:r>
      <w:r w:rsidR="4B32AC55" w:rsidRPr="4DD55046">
        <w:t xml:space="preserve">specific </w:t>
      </w:r>
      <w:r w:rsidR="7F53A737" w:rsidRPr="4DD55046">
        <w:t>water balance</w:t>
      </w:r>
      <w:r w:rsidR="6E3B1234">
        <w:rPr>
          <w:bCs/>
        </w:rPr>
        <w:t xml:space="preserve">, </w:t>
      </w:r>
      <w:r w:rsidR="682869BE" w:rsidRPr="4DD55046">
        <w:t>the Company</w:t>
      </w:r>
      <w:r w:rsidR="4364A878" w:rsidRPr="4DD55046">
        <w:t xml:space="preserve">’s </w:t>
      </w:r>
      <w:r w:rsidR="009A4BBF">
        <w:t>scrubber</w:t>
      </w:r>
      <w:r w:rsidR="4364A878" w:rsidRPr="4DD55046">
        <w:t xml:space="preserve"> wastewater treatment strategy </w:t>
      </w:r>
      <w:r w:rsidR="007221E9">
        <w:t xml:space="preserve">for Plants Bowen and Scherer </w:t>
      </w:r>
      <w:r w:rsidR="4364A878" w:rsidRPr="4DD55046">
        <w:t>provide</w:t>
      </w:r>
      <w:r w:rsidR="005C5A5B">
        <w:t>s</w:t>
      </w:r>
      <w:r w:rsidR="4364A878" w:rsidRPr="4DD55046">
        <w:t xml:space="preserve"> the flexibility to </w:t>
      </w:r>
      <w:r w:rsidR="682869BE" w:rsidRPr="4DD55046">
        <w:t>include those units in the treatment</w:t>
      </w:r>
      <w:r w:rsidR="007221E9">
        <w:t xml:space="preserve"> </w:t>
      </w:r>
      <w:r w:rsidR="0023078E">
        <w:t xml:space="preserve">systems </w:t>
      </w:r>
      <w:r w:rsidR="007221E9">
        <w:t xml:space="preserve">that </w:t>
      </w:r>
      <w:r w:rsidR="00F2065A">
        <w:t>are</w:t>
      </w:r>
      <w:r w:rsidR="007221E9">
        <w:t xml:space="preserve"> currently </w:t>
      </w:r>
      <w:r w:rsidR="00F8049A">
        <w:t>under construction</w:t>
      </w:r>
      <w:r w:rsidR="005C2690">
        <w:t xml:space="preserve"> if Bowen Units 1-2 and Scherer Unit 3 </w:t>
      </w:r>
      <w:r w:rsidR="001507C7">
        <w:t xml:space="preserve">continue to </w:t>
      </w:r>
      <w:r w:rsidR="005C2690">
        <w:t>operate beyond 2028</w:t>
      </w:r>
      <w:r w:rsidR="0B10597C">
        <w:rPr>
          <w:bCs/>
        </w:rPr>
        <w:t>.</w:t>
      </w:r>
    </w:p>
    <w:p w14:paraId="5896A4FF" w14:textId="674C2C16" w:rsidR="0081129F" w:rsidRDefault="00F45224" w:rsidP="00C942DB">
      <w:pPr>
        <w:spacing w:before="120" w:after="0" w:line="240" w:lineRule="auto"/>
        <w:rPr>
          <w:bCs/>
        </w:rPr>
      </w:pPr>
      <w:r>
        <w:rPr>
          <w:bCs/>
        </w:rPr>
        <w:t>The Company’s R&amp;D and testing of water treatment technologies</w:t>
      </w:r>
      <w:r w:rsidR="00481D1F">
        <w:rPr>
          <w:bCs/>
        </w:rPr>
        <w:t>, as</w:t>
      </w:r>
      <w:r w:rsidR="001A3921">
        <w:rPr>
          <w:bCs/>
        </w:rPr>
        <w:t xml:space="preserve"> further</w:t>
      </w:r>
      <w:r w:rsidR="00481D1F">
        <w:rPr>
          <w:bCs/>
        </w:rPr>
        <w:t xml:space="preserve"> discussed in </w:t>
      </w:r>
      <w:hyperlink w:anchor="_ECS_-_Appendix" w:history="1">
        <w:r w:rsidR="00481D1F" w:rsidRPr="00BF76C7">
          <w:rPr>
            <w:rStyle w:val="Hyperlink"/>
            <w:rFonts w:asciiTheme="minorHAnsi" w:hAnsiTheme="minorHAnsi" w:cstheme="minorBidi"/>
            <w:bCs/>
            <w:color w:val="auto"/>
            <w:u w:val="none"/>
          </w:rPr>
          <w:t>Appendix C</w:t>
        </w:r>
      </w:hyperlink>
      <w:r w:rsidR="00481D1F">
        <w:rPr>
          <w:bCs/>
        </w:rPr>
        <w:t>,</w:t>
      </w:r>
      <w:r w:rsidR="00322693">
        <w:rPr>
          <w:bCs/>
        </w:rPr>
        <w:t xml:space="preserve"> has</w:t>
      </w:r>
      <w:r>
        <w:rPr>
          <w:bCs/>
        </w:rPr>
        <w:t xml:space="preserve"> include</w:t>
      </w:r>
      <w:r w:rsidR="00322693">
        <w:rPr>
          <w:bCs/>
        </w:rPr>
        <w:t>d</w:t>
      </w:r>
      <w:r>
        <w:rPr>
          <w:bCs/>
        </w:rPr>
        <w:t xml:space="preserve"> phys-chem-bio treatment systems</w:t>
      </w:r>
      <w:r w:rsidR="00D924BD">
        <w:rPr>
          <w:bCs/>
        </w:rPr>
        <w:t>,</w:t>
      </w:r>
      <w:r>
        <w:rPr>
          <w:bCs/>
        </w:rPr>
        <w:t xml:space="preserve"> as well as </w:t>
      </w:r>
      <w:r w:rsidRPr="00C12B4D">
        <w:rPr>
          <w:bCs/>
        </w:rPr>
        <w:t>membrane</w:t>
      </w:r>
      <w:r>
        <w:rPr>
          <w:bCs/>
        </w:rPr>
        <w:t>-based</w:t>
      </w:r>
      <w:r w:rsidRPr="00C12B4D">
        <w:rPr>
          <w:bCs/>
        </w:rPr>
        <w:t xml:space="preserve"> </w:t>
      </w:r>
      <w:r>
        <w:rPr>
          <w:bCs/>
        </w:rPr>
        <w:t>treatment systems</w:t>
      </w:r>
      <w:r w:rsidRPr="00C12B4D">
        <w:rPr>
          <w:bCs/>
        </w:rPr>
        <w:t>.</w:t>
      </w:r>
      <w:r>
        <w:rPr>
          <w:bCs/>
        </w:rPr>
        <w:t xml:space="preserve"> Based on this research and testing, the Company selected a </w:t>
      </w:r>
      <w:r w:rsidR="001A5F3C">
        <w:rPr>
          <w:bCs/>
        </w:rPr>
        <w:t>phys-chem-bio</w:t>
      </w:r>
      <w:r>
        <w:rPr>
          <w:bCs/>
        </w:rPr>
        <w:t xml:space="preserve"> treatment system for Plant Bowen Units 3 and 4 to be </w:t>
      </w:r>
      <w:r w:rsidR="000061E5">
        <w:rPr>
          <w:bCs/>
        </w:rPr>
        <w:t xml:space="preserve">in commercial operation </w:t>
      </w:r>
      <w:r>
        <w:rPr>
          <w:bCs/>
        </w:rPr>
        <w:t xml:space="preserve">by December 31, 2025. </w:t>
      </w:r>
      <w:r w:rsidR="0081129F">
        <w:rPr>
          <w:bCs/>
        </w:rPr>
        <w:t xml:space="preserve">Based on plant-specific equipment and operational characteristics, the Company has selected a </w:t>
      </w:r>
      <w:r w:rsidR="00737A9E">
        <w:rPr>
          <w:bCs/>
        </w:rPr>
        <w:t xml:space="preserve">membrane-based technology system to meet the VIP compliance subcategory requirements </w:t>
      </w:r>
      <w:r w:rsidR="000A01B9">
        <w:rPr>
          <w:bCs/>
        </w:rPr>
        <w:t>for Plant Scherer Units 1 and 2</w:t>
      </w:r>
      <w:r w:rsidR="003B2BBF">
        <w:rPr>
          <w:bCs/>
        </w:rPr>
        <w:t xml:space="preserve"> by December 31, 2028</w:t>
      </w:r>
      <w:r w:rsidR="00737A9E">
        <w:rPr>
          <w:bCs/>
        </w:rPr>
        <w:t>.</w:t>
      </w:r>
      <w:r w:rsidR="00B65399">
        <w:rPr>
          <w:bCs/>
        </w:rPr>
        <w:t xml:space="preserve"> The site-specific water quality and quantity characteristics at Plant Scherer </w:t>
      </w:r>
      <w:r w:rsidR="00C05035">
        <w:rPr>
          <w:bCs/>
        </w:rPr>
        <w:t xml:space="preserve">are a </w:t>
      </w:r>
      <w:r w:rsidR="00C676DD">
        <w:rPr>
          <w:bCs/>
        </w:rPr>
        <w:t xml:space="preserve">unique </w:t>
      </w:r>
      <w:r w:rsidR="002F59E6">
        <w:rPr>
          <w:bCs/>
        </w:rPr>
        <w:t xml:space="preserve">technical </w:t>
      </w:r>
      <w:r w:rsidR="00C676DD">
        <w:rPr>
          <w:bCs/>
        </w:rPr>
        <w:t xml:space="preserve">fit </w:t>
      </w:r>
      <w:r w:rsidR="002F59E6">
        <w:rPr>
          <w:bCs/>
        </w:rPr>
        <w:t xml:space="preserve">for </w:t>
      </w:r>
      <w:r w:rsidR="00C676DD">
        <w:rPr>
          <w:bCs/>
        </w:rPr>
        <w:t xml:space="preserve">the </w:t>
      </w:r>
      <w:r w:rsidR="00B65399">
        <w:rPr>
          <w:bCs/>
        </w:rPr>
        <w:t>VIP pathway</w:t>
      </w:r>
      <w:r w:rsidR="00C05035">
        <w:rPr>
          <w:bCs/>
        </w:rPr>
        <w:t>, allowing the membrane</w:t>
      </w:r>
      <w:r w:rsidR="007E3233">
        <w:rPr>
          <w:bCs/>
        </w:rPr>
        <w:t xml:space="preserve"> technology</w:t>
      </w:r>
      <w:r w:rsidR="00C05035">
        <w:rPr>
          <w:bCs/>
        </w:rPr>
        <w:t xml:space="preserve"> </w:t>
      </w:r>
      <w:r w:rsidR="002F59E6">
        <w:rPr>
          <w:bCs/>
        </w:rPr>
        <w:t xml:space="preserve">to be </w:t>
      </w:r>
      <w:r w:rsidR="005B2CF2">
        <w:rPr>
          <w:bCs/>
        </w:rPr>
        <w:t xml:space="preserve">cost </w:t>
      </w:r>
      <w:r w:rsidR="002F59E6">
        <w:rPr>
          <w:bCs/>
        </w:rPr>
        <w:t>competitive.</w:t>
      </w:r>
      <w:r w:rsidR="00B65399">
        <w:rPr>
          <w:bCs/>
        </w:rPr>
        <w:t xml:space="preserve"> </w:t>
      </w:r>
    </w:p>
    <w:p w14:paraId="12E25C8A" w14:textId="27C02345" w:rsidR="00FB68CD" w:rsidRDefault="009D568B" w:rsidP="00C942DB">
      <w:pPr>
        <w:spacing w:before="120" w:after="0" w:line="240" w:lineRule="auto"/>
      </w:pPr>
      <w:r>
        <w:t>As required by EPA in the</w:t>
      </w:r>
      <w:r w:rsidR="0075232B">
        <w:t xml:space="preserve"> 2020 </w:t>
      </w:r>
      <w:r w:rsidR="00581399">
        <w:t>R</w:t>
      </w:r>
      <w:r w:rsidR="0075232B">
        <w:t xml:space="preserve">econsideration Rule that remains in effect, </w:t>
      </w:r>
      <w:r w:rsidR="00BE3E3C" w:rsidRPr="00F8560B">
        <w:t xml:space="preserve">the </w:t>
      </w:r>
      <w:r w:rsidR="003819C4">
        <w:t xml:space="preserve">Company continues to </w:t>
      </w:r>
      <w:r>
        <w:t xml:space="preserve">pursue </w:t>
      </w:r>
      <w:r w:rsidR="003819C4">
        <w:t xml:space="preserve">the </w:t>
      </w:r>
      <w:r w:rsidR="00BE3E3C" w:rsidRPr="00F8560B">
        <w:t xml:space="preserve">procurement and construction </w:t>
      </w:r>
      <w:r w:rsidR="00BE3E3C">
        <w:t>of the ELG projects</w:t>
      </w:r>
      <w:r w:rsidR="00A94FAC">
        <w:t xml:space="preserve"> for Plants Bowen and Scherer</w:t>
      </w:r>
      <w:r w:rsidR="00BE3E3C">
        <w:t xml:space="preserve">. </w:t>
      </w:r>
      <w:r w:rsidR="006E4E64">
        <w:t>However, t</w:t>
      </w:r>
      <w:r w:rsidR="00BE3E3C">
        <w:t xml:space="preserve">he uncertainty </w:t>
      </w:r>
      <w:r w:rsidR="00A652D5">
        <w:t xml:space="preserve">created </w:t>
      </w:r>
      <w:r w:rsidR="00BE3E3C">
        <w:t xml:space="preserve">by the new rulemaking has added </w:t>
      </w:r>
      <w:r w:rsidR="009D5A69">
        <w:t xml:space="preserve">reliability and </w:t>
      </w:r>
      <w:r w:rsidR="00777383">
        <w:t xml:space="preserve">cost </w:t>
      </w:r>
      <w:r w:rsidR="00BE3E3C">
        <w:t>risk considerations</w:t>
      </w:r>
      <w:r w:rsidR="009D5A69">
        <w:t>, which</w:t>
      </w:r>
      <w:r w:rsidR="00BE3E3C">
        <w:t xml:space="preserve"> </w:t>
      </w:r>
      <w:r w:rsidR="006D1FCF">
        <w:t>will</w:t>
      </w:r>
      <w:r w:rsidR="00BE3E3C">
        <w:t xml:space="preserve"> </w:t>
      </w:r>
      <w:r w:rsidR="009D5A69">
        <w:t xml:space="preserve">need </w:t>
      </w:r>
      <w:r w:rsidR="00763837">
        <w:t xml:space="preserve">to </w:t>
      </w:r>
      <w:r w:rsidR="00BE3E3C">
        <w:t>be evaluated</w:t>
      </w:r>
      <w:r w:rsidR="009D5A69">
        <w:t xml:space="preserve"> when the final </w:t>
      </w:r>
      <w:r w:rsidR="00BA7400">
        <w:t xml:space="preserve">ELG </w:t>
      </w:r>
      <w:r w:rsidR="00581399">
        <w:t>Supplemental R</w:t>
      </w:r>
      <w:r w:rsidR="009D5A69">
        <w:t>ule is issued.</w:t>
      </w:r>
      <w:r w:rsidR="00BE3E3C">
        <w:t xml:space="preserve"> </w:t>
      </w:r>
      <w:r w:rsidR="007F6408">
        <w:t xml:space="preserve">Based on the limited information available, </w:t>
      </w:r>
      <w:r w:rsidR="006610C4">
        <w:t xml:space="preserve">a pre-screening </w:t>
      </w:r>
      <w:r w:rsidR="003207AD">
        <w:t xml:space="preserve">evaluation for Plant Bowen </w:t>
      </w:r>
      <w:r w:rsidR="006610C4">
        <w:t>estimate</w:t>
      </w:r>
      <w:r w:rsidR="003207AD">
        <w:t>s</w:t>
      </w:r>
      <w:r w:rsidR="006610C4">
        <w:t xml:space="preserve"> </w:t>
      </w:r>
      <w:r w:rsidR="000736D6">
        <w:t>that</w:t>
      </w:r>
      <w:r w:rsidR="006E4E64">
        <w:rPr>
          <w:bCs/>
          <w:iCs/>
        </w:rPr>
        <w:t xml:space="preserve"> the membrane-based scrubber wastewater treatment system </w:t>
      </w:r>
      <w:r w:rsidR="00BF4F5A">
        <w:rPr>
          <w:bCs/>
          <w:iCs/>
        </w:rPr>
        <w:t>contemplated in the propos</w:t>
      </w:r>
      <w:r w:rsidR="00D34F83">
        <w:rPr>
          <w:bCs/>
          <w:iCs/>
        </w:rPr>
        <w:t>al</w:t>
      </w:r>
      <w:r w:rsidR="00BF4F5A">
        <w:rPr>
          <w:bCs/>
          <w:iCs/>
        </w:rPr>
        <w:t xml:space="preserve"> </w:t>
      </w:r>
      <w:r w:rsidR="003207AD">
        <w:rPr>
          <w:bCs/>
          <w:iCs/>
        </w:rPr>
        <w:t xml:space="preserve">would have a capital </w:t>
      </w:r>
      <w:r w:rsidR="006E4E64">
        <w:rPr>
          <w:bCs/>
          <w:iCs/>
        </w:rPr>
        <w:t xml:space="preserve">cost </w:t>
      </w:r>
      <w:r w:rsidR="003207AD">
        <w:rPr>
          <w:bCs/>
          <w:iCs/>
        </w:rPr>
        <w:t xml:space="preserve">of </w:t>
      </w:r>
      <w:r w:rsidR="006E4E64">
        <w:rPr>
          <w:bCs/>
          <w:iCs/>
        </w:rPr>
        <w:t xml:space="preserve">approximately </w:t>
      </w:r>
      <w:r w:rsidR="00963CA8">
        <w:rPr>
          <w:bCs/>
          <w:iCs/>
        </w:rPr>
        <w:t>$580</w:t>
      </w:r>
      <w:r w:rsidR="006E4E64">
        <w:rPr>
          <w:bCs/>
          <w:iCs/>
        </w:rPr>
        <w:t>M</w:t>
      </w:r>
      <w:r w:rsidR="0079782B">
        <w:rPr>
          <w:bCs/>
          <w:iCs/>
        </w:rPr>
        <w:t>, due to site-specific operating and fuel characteristics</w:t>
      </w:r>
      <w:r w:rsidR="003207AD">
        <w:rPr>
          <w:bCs/>
          <w:iCs/>
        </w:rPr>
        <w:t>.</w:t>
      </w:r>
      <w:r w:rsidR="006E4E64">
        <w:rPr>
          <w:bCs/>
          <w:iCs/>
        </w:rPr>
        <w:t xml:space="preserve"> </w:t>
      </w:r>
      <w:r w:rsidR="003207AD">
        <w:rPr>
          <w:bCs/>
          <w:iCs/>
        </w:rPr>
        <w:t>T</w:t>
      </w:r>
      <w:r w:rsidR="006E4E64">
        <w:rPr>
          <w:bCs/>
          <w:iCs/>
        </w:rPr>
        <w:t xml:space="preserve">he </w:t>
      </w:r>
      <w:r w:rsidR="00D34F83">
        <w:rPr>
          <w:bCs/>
          <w:iCs/>
        </w:rPr>
        <w:t xml:space="preserve">proposed </w:t>
      </w:r>
      <w:r w:rsidR="006E4E64">
        <w:rPr>
          <w:bCs/>
          <w:iCs/>
        </w:rPr>
        <w:t xml:space="preserve">zero liquid discharge requirement </w:t>
      </w:r>
      <w:r w:rsidR="001438A0">
        <w:rPr>
          <w:bCs/>
          <w:iCs/>
        </w:rPr>
        <w:t>w</w:t>
      </w:r>
      <w:r w:rsidR="006E4E64">
        <w:rPr>
          <w:bCs/>
          <w:iCs/>
        </w:rPr>
        <w:t xml:space="preserve">ould result in </w:t>
      </w:r>
      <w:r w:rsidR="001E2FF0">
        <w:rPr>
          <w:bCs/>
          <w:iCs/>
        </w:rPr>
        <w:t xml:space="preserve">additional costs </w:t>
      </w:r>
      <w:r w:rsidR="00D1583A">
        <w:rPr>
          <w:bCs/>
          <w:iCs/>
        </w:rPr>
        <w:t>that have not been quantified but could include s</w:t>
      </w:r>
      <w:r w:rsidR="00DD1CEE">
        <w:t>ignificant engineering, piping, pumps, and potentially even water storage to accomplish a closed loop system</w:t>
      </w:r>
      <w:r w:rsidR="001438A0">
        <w:t xml:space="preserve"> that sends treated permeate </w:t>
      </w:r>
      <w:r w:rsidR="007C0AB3">
        <w:t>to the scrubber or boiler as makeup water</w:t>
      </w:r>
      <w:r w:rsidR="00DD1CEE">
        <w:t xml:space="preserve">. </w:t>
      </w:r>
      <w:r w:rsidR="000364CF">
        <w:t xml:space="preserve">In proposing the zero liquid discharge requirement, EPA incorrectly assumes </w:t>
      </w:r>
      <w:r w:rsidR="00DD1CEE">
        <w:t xml:space="preserve">that </w:t>
      </w:r>
      <w:r w:rsidR="00857C76">
        <w:t>scrubber</w:t>
      </w:r>
      <w:r w:rsidR="00DD1CEE">
        <w:t xml:space="preserve"> wastewater </w:t>
      </w:r>
      <w:r w:rsidR="00857C76">
        <w:t xml:space="preserve">only </w:t>
      </w:r>
      <w:r w:rsidR="00DD1CEE">
        <w:t xml:space="preserve">requires treatment when units are dispatched. NPDES discharges from power plants are not limited to </w:t>
      </w:r>
      <w:r w:rsidR="005F06D1">
        <w:t xml:space="preserve">scrubber </w:t>
      </w:r>
      <w:r w:rsidR="00DD1CEE">
        <w:t xml:space="preserve">process </w:t>
      </w:r>
      <w:r w:rsidR="00DD1CEE">
        <w:lastRenderedPageBreak/>
        <w:t xml:space="preserve">wastewater but instead </w:t>
      </w:r>
      <w:r w:rsidR="005F06D1">
        <w:t xml:space="preserve">can </w:t>
      </w:r>
      <w:r w:rsidR="00DD1CEE">
        <w:t>include industrial stormwater that is also managed through the wastewater treatment systems</w:t>
      </w:r>
      <w:r w:rsidR="00EB2E54">
        <w:t xml:space="preserve"> to</w:t>
      </w:r>
      <w:r w:rsidR="00DD1CEE">
        <w:t xml:space="preserve"> ensure that </w:t>
      </w:r>
      <w:r w:rsidR="00870B09">
        <w:t xml:space="preserve">certain </w:t>
      </w:r>
      <w:r w:rsidR="00DD1CEE">
        <w:t xml:space="preserve">stormwater </w:t>
      </w:r>
      <w:r w:rsidR="00EB7964">
        <w:t>flows are</w:t>
      </w:r>
      <w:r w:rsidR="00DD1CEE">
        <w:t xml:space="preserve"> more thoroughly controlled prior to discharge. However, this </w:t>
      </w:r>
      <w:r w:rsidR="00B532A0">
        <w:t xml:space="preserve">process </w:t>
      </w:r>
      <w:r w:rsidR="00DD1CEE">
        <w:t xml:space="preserve">results in water entering the wastewater treatment system even when there is no makeup water demand, and therefore, no </w:t>
      </w:r>
      <w:r w:rsidR="006E4E64">
        <w:rPr>
          <w:bCs/>
          <w:iCs/>
        </w:rPr>
        <w:t xml:space="preserve">operational </w:t>
      </w:r>
      <w:r w:rsidR="00DD1CEE">
        <w:t xml:space="preserve">water consumption processes to achieve </w:t>
      </w:r>
      <w:r w:rsidR="008E5E23">
        <w:t>zero liquid discharge</w:t>
      </w:r>
      <w:r w:rsidR="00DD1CEE">
        <w:t>. A</w:t>
      </w:r>
      <w:r w:rsidR="00FB68CD">
        <w:t>s a result</w:t>
      </w:r>
      <w:r w:rsidR="00DD1CEE">
        <w:t>, it is possible that generating units may need to</w:t>
      </w:r>
      <w:r w:rsidR="001E2FF0">
        <w:rPr>
          <w:bCs/>
          <w:iCs/>
        </w:rPr>
        <w:t xml:space="preserve"> </w:t>
      </w:r>
      <w:r w:rsidR="00DD1E30">
        <w:rPr>
          <w:bCs/>
          <w:iCs/>
        </w:rPr>
        <w:t>operate out of normal economic dispatch</w:t>
      </w:r>
      <w:r w:rsidR="00EA1FB1">
        <w:rPr>
          <w:bCs/>
          <w:iCs/>
        </w:rPr>
        <w:t xml:space="preserve"> </w:t>
      </w:r>
      <w:r w:rsidR="00DD1CEE">
        <w:t xml:space="preserve">solely for purposes of water consumption to achieve the </w:t>
      </w:r>
      <w:r w:rsidR="008E5E23">
        <w:t>zero liquid discharge</w:t>
      </w:r>
      <w:r w:rsidR="00DD1CEE">
        <w:t xml:space="preserve"> requirement in this proposal</w:t>
      </w:r>
      <w:r w:rsidR="00FB68CD">
        <w:t>.</w:t>
      </w:r>
    </w:p>
    <w:p w14:paraId="64A61E9F" w14:textId="1784B57E" w:rsidR="00BE3E3C" w:rsidRDefault="006E4E64" w:rsidP="00C942DB">
      <w:pPr>
        <w:spacing w:before="120" w:after="0" w:line="240" w:lineRule="auto"/>
      </w:pPr>
      <w:r>
        <w:rPr>
          <w:bCs/>
          <w:iCs/>
        </w:rPr>
        <w:t>In addition, the proposal would require the physical-chemical treatment of combustion residual leachate, which would add treatment</w:t>
      </w:r>
      <w:r w:rsidR="00A5005D">
        <w:rPr>
          <w:bCs/>
          <w:iCs/>
        </w:rPr>
        <w:t xml:space="preserve"> to the leachate collection</w:t>
      </w:r>
      <w:r>
        <w:rPr>
          <w:bCs/>
          <w:iCs/>
        </w:rPr>
        <w:t xml:space="preserve"> systems </w:t>
      </w:r>
      <w:r w:rsidR="00A5005D">
        <w:rPr>
          <w:bCs/>
          <w:iCs/>
        </w:rPr>
        <w:t>at</w:t>
      </w:r>
      <w:r>
        <w:rPr>
          <w:bCs/>
          <w:iCs/>
        </w:rPr>
        <w:t xml:space="preserve"> CCR landfill</w:t>
      </w:r>
      <w:r w:rsidR="00A5005D">
        <w:rPr>
          <w:bCs/>
          <w:iCs/>
        </w:rPr>
        <w:t>s</w:t>
      </w:r>
      <w:r>
        <w:rPr>
          <w:bCs/>
          <w:iCs/>
        </w:rPr>
        <w:t xml:space="preserve">. </w:t>
      </w:r>
      <w:r w:rsidR="005B33AC">
        <w:rPr>
          <w:rStyle w:val="normaltextrun"/>
          <w:color w:val="000000"/>
          <w:shd w:val="clear" w:color="auto" w:fill="FFFFFF"/>
        </w:rPr>
        <w:t xml:space="preserve">The Company will review the need for additional treatment and </w:t>
      </w:r>
      <w:r w:rsidR="004C6050">
        <w:rPr>
          <w:rStyle w:val="normaltextrun"/>
          <w:color w:val="000000"/>
          <w:shd w:val="clear" w:color="auto" w:fill="FFFFFF"/>
        </w:rPr>
        <w:t xml:space="preserve">the </w:t>
      </w:r>
      <w:r w:rsidR="005B33AC">
        <w:rPr>
          <w:rStyle w:val="normaltextrun"/>
          <w:color w:val="000000"/>
          <w:shd w:val="clear" w:color="auto" w:fill="FFFFFF"/>
        </w:rPr>
        <w:t xml:space="preserve">associated costs </w:t>
      </w:r>
      <w:r w:rsidR="00884ADA">
        <w:rPr>
          <w:rStyle w:val="normaltextrun"/>
          <w:color w:val="000000"/>
          <w:shd w:val="clear" w:color="auto" w:fill="FFFFFF"/>
        </w:rPr>
        <w:t xml:space="preserve">for </w:t>
      </w:r>
      <w:r w:rsidR="0001567A">
        <w:rPr>
          <w:rStyle w:val="normaltextrun"/>
          <w:color w:val="000000"/>
          <w:shd w:val="clear" w:color="auto" w:fill="FFFFFF"/>
        </w:rPr>
        <w:t xml:space="preserve">the </w:t>
      </w:r>
      <w:r w:rsidR="005B6C8B">
        <w:rPr>
          <w:rStyle w:val="normaltextrun"/>
          <w:color w:val="000000"/>
          <w:shd w:val="clear" w:color="auto" w:fill="FFFFFF"/>
        </w:rPr>
        <w:t xml:space="preserve">leachate collection systems </w:t>
      </w:r>
      <w:r w:rsidR="002F7531">
        <w:rPr>
          <w:rStyle w:val="normaltextrun"/>
          <w:color w:val="000000"/>
          <w:shd w:val="clear" w:color="auto" w:fill="FFFFFF"/>
        </w:rPr>
        <w:t xml:space="preserve">at </w:t>
      </w:r>
      <w:r w:rsidR="00465F42">
        <w:rPr>
          <w:rStyle w:val="normaltextrun"/>
          <w:color w:val="000000"/>
          <w:shd w:val="clear" w:color="auto" w:fill="FFFFFF"/>
        </w:rPr>
        <w:t xml:space="preserve">CCR landfills </w:t>
      </w:r>
      <w:r w:rsidR="0037114E">
        <w:rPr>
          <w:rStyle w:val="normaltextrun"/>
          <w:color w:val="000000"/>
          <w:shd w:val="clear" w:color="auto" w:fill="FFFFFF"/>
        </w:rPr>
        <w:t xml:space="preserve">following </w:t>
      </w:r>
      <w:r w:rsidR="001B3C5E">
        <w:rPr>
          <w:rStyle w:val="normaltextrun"/>
          <w:color w:val="000000"/>
          <w:shd w:val="clear" w:color="auto" w:fill="FFFFFF"/>
        </w:rPr>
        <w:t>rule finalization.</w:t>
      </w:r>
      <w:r w:rsidR="00683F60">
        <w:rPr>
          <w:rStyle w:val="normaltextrun"/>
          <w:color w:val="000000"/>
          <w:shd w:val="clear" w:color="auto" w:fill="FFFFFF"/>
        </w:rPr>
        <w:t> </w:t>
      </w:r>
      <w:r w:rsidR="0014498B">
        <w:t>For legacy wastewater</w:t>
      </w:r>
      <w:r w:rsidR="003D0432">
        <w:t xml:space="preserve"> produced during ash pond closure</w:t>
      </w:r>
      <w:r w:rsidR="00A14043">
        <w:t xml:space="preserve"> activities</w:t>
      </w:r>
      <w:r w:rsidR="0014498B">
        <w:t xml:space="preserve">, </w:t>
      </w:r>
      <w:r w:rsidR="00D25896">
        <w:rPr>
          <w:lang w:val="en"/>
        </w:rPr>
        <w:t>t</w:t>
      </w:r>
      <w:r w:rsidR="00D25896" w:rsidRPr="003D640E">
        <w:rPr>
          <w:lang w:val="en"/>
        </w:rPr>
        <w:t xml:space="preserve">he Company’s </w:t>
      </w:r>
      <w:r w:rsidR="003D0432">
        <w:rPr>
          <w:lang w:val="en"/>
        </w:rPr>
        <w:t xml:space="preserve">plans </w:t>
      </w:r>
      <w:r w:rsidR="00D25896">
        <w:rPr>
          <w:lang w:val="en"/>
        </w:rPr>
        <w:t xml:space="preserve">already </w:t>
      </w:r>
      <w:r w:rsidR="003D0432">
        <w:rPr>
          <w:lang w:val="en"/>
        </w:rPr>
        <w:t xml:space="preserve">include </w:t>
      </w:r>
      <w:r w:rsidR="00D25896" w:rsidRPr="003D640E">
        <w:rPr>
          <w:lang w:val="en"/>
        </w:rPr>
        <w:t xml:space="preserve">treating all contact water </w:t>
      </w:r>
      <w:r w:rsidR="00D25896">
        <w:rPr>
          <w:lang w:val="en"/>
        </w:rPr>
        <w:t xml:space="preserve">under </w:t>
      </w:r>
      <w:r w:rsidR="00D25896" w:rsidRPr="003D640E">
        <w:rPr>
          <w:lang w:val="en"/>
        </w:rPr>
        <w:t>dewatering plans approved by the EPD,</w:t>
      </w:r>
      <w:r w:rsidR="00D25896">
        <w:rPr>
          <w:lang w:val="en"/>
        </w:rPr>
        <w:t xml:space="preserve"> as discussed further in Section 2.2</w:t>
      </w:r>
      <w:r w:rsidR="00023DA1">
        <w:rPr>
          <w:lang w:val="en"/>
        </w:rPr>
        <w:t xml:space="preserve">; however, the </w:t>
      </w:r>
      <w:r w:rsidR="00883594">
        <w:rPr>
          <w:lang w:val="en"/>
        </w:rPr>
        <w:t xml:space="preserve">proposed ELG Supplemental Rule’s requirement for </w:t>
      </w:r>
      <w:r w:rsidR="00023DA1">
        <w:t>case-by-case technology-based effluent limitations established by the permitting authority</w:t>
      </w:r>
      <w:r w:rsidR="00883594">
        <w:t xml:space="preserve"> may require </w:t>
      </w:r>
      <w:r w:rsidR="003D0432">
        <w:t xml:space="preserve">additional review </w:t>
      </w:r>
      <w:r w:rsidR="002C5B34">
        <w:t xml:space="preserve">and permitting </w:t>
      </w:r>
      <w:r w:rsidR="003D0432">
        <w:t>processes</w:t>
      </w:r>
      <w:r w:rsidR="000B28E1">
        <w:rPr>
          <w:rFonts w:eastAsia="Arial" w:cs="Arial"/>
          <w:color w:val="000000" w:themeColor="text1"/>
        </w:rPr>
        <w:t>.</w:t>
      </w:r>
      <w:r w:rsidR="000B28E1">
        <w:t xml:space="preserve"> </w:t>
      </w:r>
      <w:r w:rsidR="009D5A69">
        <w:t>T</w:t>
      </w:r>
      <w:r w:rsidR="00ED1D91">
        <w:t xml:space="preserve">he Company </w:t>
      </w:r>
      <w:r w:rsidR="009E7E05">
        <w:t xml:space="preserve">will </w:t>
      </w:r>
      <w:r w:rsidR="00EF63F6">
        <w:t>assess</w:t>
      </w:r>
      <w:r w:rsidR="00ED1D91">
        <w:t xml:space="preserve"> and update the ELG compliance strategy</w:t>
      </w:r>
      <w:r w:rsidR="00A652D5">
        <w:t xml:space="preserve"> as needed</w:t>
      </w:r>
      <w:r w:rsidR="00D712C4">
        <w:t xml:space="preserve"> </w:t>
      </w:r>
      <w:r w:rsidR="009E7E05">
        <w:t>after the rule is finalized</w:t>
      </w:r>
      <w:r w:rsidR="00BE3E3C">
        <w:t>.</w:t>
      </w:r>
      <w:r w:rsidR="00A652D5">
        <w:t xml:space="preserve"> </w:t>
      </w:r>
    </w:p>
    <w:p w14:paraId="1632CABC" w14:textId="5B6CB8BD" w:rsidR="009210F1" w:rsidRPr="00D32D38" w:rsidRDefault="003E0E61" w:rsidP="00C942DB">
      <w:pPr>
        <w:pStyle w:val="Heading1"/>
        <w:spacing w:before="120" w:after="0"/>
        <w:rPr>
          <w:b/>
          <w:bCs/>
          <w:sz w:val="32"/>
          <w:szCs w:val="32"/>
        </w:rPr>
      </w:pPr>
      <w:bookmarkStart w:id="28" w:name="_Toc117253469"/>
      <w:bookmarkStart w:id="29" w:name="_Toc130201002"/>
      <w:r w:rsidRPr="00D32D38">
        <w:rPr>
          <w:b/>
          <w:bCs/>
          <w:sz w:val="32"/>
          <w:szCs w:val="32"/>
        </w:rPr>
        <w:t>2.</w:t>
      </w:r>
      <w:r w:rsidR="00491B92">
        <w:rPr>
          <w:b/>
          <w:bCs/>
          <w:sz w:val="32"/>
          <w:szCs w:val="32"/>
        </w:rPr>
        <w:t>2</w:t>
      </w:r>
      <w:r w:rsidR="009210F1" w:rsidRPr="00D32D38">
        <w:rPr>
          <w:b/>
          <w:bCs/>
          <w:sz w:val="32"/>
          <w:szCs w:val="32"/>
        </w:rPr>
        <w:t xml:space="preserve"> </w:t>
      </w:r>
      <w:r w:rsidR="00EA7F30">
        <w:rPr>
          <w:b/>
          <w:bCs/>
          <w:sz w:val="32"/>
          <w:szCs w:val="32"/>
        </w:rPr>
        <w:t>Coal Combustion Residuals</w:t>
      </w:r>
      <w:r w:rsidR="004A7903" w:rsidRPr="00D32D38">
        <w:rPr>
          <w:b/>
          <w:bCs/>
          <w:sz w:val="32"/>
          <w:szCs w:val="32"/>
        </w:rPr>
        <w:t xml:space="preserve"> Regulatory and Strategy Updates</w:t>
      </w:r>
      <w:bookmarkEnd w:id="28"/>
      <w:bookmarkEnd w:id="29"/>
    </w:p>
    <w:p w14:paraId="5A9403EC" w14:textId="151BD934" w:rsidR="00A80E04" w:rsidRDefault="0051590D" w:rsidP="0053159C">
      <w:pPr>
        <w:rPr>
          <w:b/>
          <w:bCs/>
          <w:smallCaps/>
        </w:rPr>
      </w:pPr>
      <w:bookmarkStart w:id="30" w:name="_Toc117253471"/>
      <w:r w:rsidRPr="00DB7156">
        <w:t xml:space="preserve">The </w:t>
      </w:r>
      <w:r w:rsidR="002F64CB">
        <w:t>CCR</w:t>
      </w:r>
      <w:r w:rsidRPr="00DB7156">
        <w:t xml:space="preserve"> </w:t>
      </w:r>
      <w:r w:rsidR="0069396D">
        <w:t xml:space="preserve">environmental </w:t>
      </w:r>
      <w:r w:rsidRPr="00DB7156">
        <w:t xml:space="preserve">compliance strategy </w:t>
      </w:r>
      <w:r w:rsidR="00A2568C">
        <w:t xml:space="preserve">(as approved in the </w:t>
      </w:r>
      <w:r w:rsidR="00F25E6A">
        <w:t xml:space="preserve">2019 and </w:t>
      </w:r>
      <w:r w:rsidR="00A2568C">
        <w:t>2022 IRP</w:t>
      </w:r>
      <w:r w:rsidR="00F25E6A">
        <w:t xml:space="preserve"> proceedings,</w:t>
      </w:r>
      <w:r w:rsidR="00A2568C">
        <w:t xml:space="preserve"> </w:t>
      </w:r>
      <w:r w:rsidR="009D0766" w:rsidRPr="00505A21">
        <w:t>Docket No. 42310</w:t>
      </w:r>
      <w:r w:rsidR="009D0766">
        <w:t xml:space="preserve"> </w:t>
      </w:r>
      <w:r w:rsidR="009D0766" w:rsidRPr="00505A21">
        <w:t>and 44160, respectively</w:t>
      </w:r>
      <w:r w:rsidR="00A2568C">
        <w:t xml:space="preserve">) </w:t>
      </w:r>
      <w:r w:rsidR="00A00229">
        <w:t xml:space="preserve">focuses on </w:t>
      </w:r>
      <w:r w:rsidR="00A048DE">
        <w:t xml:space="preserve">federal and state </w:t>
      </w:r>
      <w:r w:rsidRPr="00DB7156">
        <w:t xml:space="preserve">regulations related </w:t>
      </w:r>
      <w:r w:rsidR="00192D04">
        <w:t xml:space="preserve">to </w:t>
      </w:r>
      <w:r w:rsidR="00A00229">
        <w:t>ash pond closure</w:t>
      </w:r>
      <w:r w:rsidR="00192D04">
        <w:t>s</w:t>
      </w:r>
      <w:r w:rsidR="00A00229">
        <w:t xml:space="preserve"> and </w:t>
      </w:r>
      <w:r w:rsidR="00945953">
        <w:t xml:space="preserve">CCR </w:t>
      </w:r>
      <w:r w:rsidR="004D2489">
        <w:t>management</w:t>
      </w:r>
      <w:r w:rsidR="00915D34">
        <w:t>, as</w:t>
      </w:r>
      <w:r>
        <w:t xml:space="preserve"> summarized in</w:t>
      </w:r>
      <w:r w:rsidR="00AF3FFA">
        <w:t xml:space="preserve"> </w:t>
      </w:r>
      <w:r w:rsidR="00AF3FFA" w:rsidRPr="00AF3FFA">
        <w:rPr>
          <w:b/>
          <w:bCs/>
        </w:rPr>
        <w:t>Table 4</w:t>
      </w:r>
      <w:r w:rsidR="00AF3FFA">
        <w:t>.</w:t>
      </w:r>
      <w:r>
        <w:t xml:space="preserve"> </w:t>
      </w:r>
      <w:r w:rsidR="00C81481" w:rsidRPr="00C81481">
        <w:t>Per the 2022 IRP Final Order, any determination by the EPD causing a change in closure strategy for ash ponds closing in place requires the Company to notify the PSC within 30 days of such determination.</w:t>
      </w:r>
      <w:r w:rsidR="00C81481">
        <w:t xml:space="preserve"> </w:t>
      </w:r>
      <w:r>
        <w:t xml:space="preserve">The areas of legislation, regulation, permitting, or other actions that set or are anticipated to set critical </w:t>
      </w:r>
      <w:r w:rsidR="00844AAE">
        <w:t>CCR</w:t>
      </w:r>
      <w:r>
        <w:t xml:space="preserve"> compliance requirements are </w:t>
      </w:r>
      <w:r w:rsidRPr="00DB7156">
        <w:t>discussed below.</w:t>
      </w:r>
      <w:bookmarkStart w:id="31" w:name="_Ref129869754"/>
      <w:bookmarkStart w:id="32" w:name="_Ref129869748"/>
    </w:p>
    <w:p w14:paraId="59C39BA5" w14:textId="5EE8C944" w:rsidR="00092AB2" w:rsidRPr="009944A6" w:rsidRDefault="00092AB2" w:rsidP="003F3BBD">
      <w:pPr>
        <w:spacing w:before="120" w:after="0" w:line="276" w:lineRule="auto"/>
        <w:jc w:val="center"/>
        <w:rPr>
          <w:rFonts w:cs="Arial"/>
          <w:b/>
          <w:color w:val="171717" w:themeColor="background2" w:themeShade="1A"/>
          <w:sz w:val="20"/>
          <w:szCs w:val="20"/>
        </w:rPr>
      </w:pPr>
      <w:r w:rsidRPr="009944A6">
        <w:rPr>
          <w:rFonts w:cs="Arial"/>
          <w:b/>
          <w:color w:val="171717" w:themeColor="background2" w:themeShade="1A"/>
          <w:sz w:val="20"/>
          <w:szCs w:val="20"/>
        </w:rPr>
        <w:t xml:space="preserve">Table </w:t>
      </w:r>
      <w:r w:rsidR="003F3BBD">
        <w:rPr>
          <w:rFonts w:cs="Arial"/>
          <w:b/>
          <w:color w:val="171717" w:themeColor="background2" w:themeShade="1A"/>
          <w:sz w:val="20"/>
          <w:szCs w:val="20"/>
        </w:rPr>
        <w:t>4</w:t>
      </w:r>
      <w:r w:rsidR="00E33967">
        <w:rPr>
          <w:rFonts w:cs="Arial"/>
          <w:b/>
          <w:color w:val="171717" w:themeColor="background2" w:themeShade="1A"/>
          <w:sz w:val="20"/>
          <w:szCs w:val="20"/>
        </w:rPr>
        <w:t>.</w:t>
      </w:r>
      <w:r w:rsidR="003F3BBD">
        <w:rPr>
          <w:rFonts w:cs="Arial"/>
          <w:b/>
          <w:color w:val="171717" w:themeColor="background2" w:themeShade="1A"/>
          <w:sz w:val="20"/>
          <w:szCs w:val="20"/>
        </w:rPr>
        <w:t xml:space="preserve"> Georgia Power’s Ash Ponds and Existing CCR Landfills</w:t>
      </w:r>
    </w:p>
    <w:bookmarkEnd w:id="31"/>
    <w:bookmarkEnd w:id="32"/>
    <w:tbl>
      <w:tblPr>
        <w:tblW w:w="7371" w:type="dxa"/>
        <w:tblInd w:w="983" w:type="dxa"/>
        <w:tblCellMar>
          <w:left w:w="0" w:type="dxa"/>
          <w:right w:w="0" w:type="dxa"/>
        </w:tblCellMar>
        <w:tblLook w:val="0420" w:firstRow="1" w:lastRow="0" w:firstColumn="0" w:lastColumn="0" w:noHBand="0" w:noVBand="1"/>
      </w:tblPr>
      <w:tblGrid>
        <w:gridCol w:w="1614"/>
        <w:gridCol w:w="1437"/>
        <w:gridCol w:w="1622"/>
        <w:gridCol w:w="1258"/>
        <w:gridCol w:w="1440"/>
      </w:tblGrid>
      <w:tr w:rsidR="004F49ED" w:rsidRPr="00C46CCC" w14:paraId="2FD13389" w14:textId="77777777" w:rsidTr="007B3FBA">
        <w:trPr>
          <w:trHeight w:hRule="exact" w:val="288"/>
        </w:trPr>
        <w:tc>
          <w:tcPr>
            <w:tcW w:w="1614" w:type="dxa"/>
            <w:tcBorders>
              <w:top w:val="single" w:sz="4" w:space="0" w:color="auto"/>
              <w:left w:val="single" w:sz="4" w:space="0" w:color="auto"/>
              <w:right w:val="single" w:sz="12" w:space="0" w:color="FFFFFF" w:themeColor="background1"/>
            </w:tcBorders>
            <w:shd w:val="clear" w:color="auto" w:fill="2F5496" w:themeFill="accent1" w:themeFillShade="BF"/>
            <w:tcMar>
              <w:top w:w="40" w:type="dxa"/>
              <w:left w:w="81" w:type="dxa"/>
              <w:bottom w:w="40" w:type="dxa"/>
              <w:right w:w="81" w:type="dxa"/>
            </w:tcMar>
          </w:tcPr>
          <w:p w14:paraId="40941CA8" w14:textId="77777777" w:rsidR="004F49ED" w:rsidRPr="00C46CCC" w:rsidRDefault="004F49ED" w:rsidP="007B3FBA">
            <w:pPr>
              <w:spacing w:after="0" w:line="240" w:lineRule="auto"/>
              <w:ind w:left="360"/>
              <w:rPr>
                <w:color w:val="000000"/>
                <w:sz w:val="20"/>
                <w:szCs w:val="20"/>
              </w:rPr>
            </w:pPr>
          </w:p>
        </w:tc>
        <w:tc>
          <w:tcPr>
            <w:tcW w:w="4317" w:type="dxa"/>
            <w:gridSpan w:val="3"/>
            <w:tcBorders>
              <w:top w:val="single" w:sz="4" w:space="0" w:color="auto"/>
              <w:left w:val="single" w:sz="12" w:space="0" w:color="FFFFFF" w:themeColor="background1"/>
              <w:bottom w:val="single" w:sz="12" w:space="0" w:color="FFFFFF" w:themeColor="background1"/>
              <w:right w:val="single" w:sz="8" w:space="0" w:color="FFFFFF" w:themeColor="background1"/>
            </w:tcBorders>
            <w:shd w:val="clear" w:color="auto" w:fill="2F5496" w:themeFill="accent1" w:themeFillShade="BF"/>
            <w:tcMar>
              <w:top w:w="15" w:type="dxa"/>
              <w:left w:w="43" w:type="dxa"/>
              <w:bottom w:w="22" w:type="dxa"/>
              <w:right w:w="43" w:type="dxa"/>
            </w:tcMar>
          </w:tcPr>
          <w:p w14:paraId="0D1C418F" w14:textId="77777777" w:rsidR="004F49ED" w:rsidRPr="00C46CCC" w:rsidRDefault="004F49ED" w:rsidP="007B3FBA">
            <w:pPr>
              <w:spacing w:after="0" w:line="240" w:lineRule="auto"/>
              <w:jc w:val="center"/>
              <w:rPr>
                <w:b/>
                <w:color w:val="FFFFFF" w:themeColor="background1"/>
                <w:sz w:val="20"/>
                <w:szCs w:val="20"/>
              </w:rPr>
            </w:pPr>
            <w:r w:rsidRPr="00C46CCC">
              <w:rPr>
                <w:b/>
                <w:color w:val="FFFFFF" w:themeColor="background1"/>
                <w:sz w:val="20"/>
                <w:szCs w:val="20"/>
              </w:rPr>
              <w:t>Ash Pond Closure Method</w:t>
            </w:r>
          </w:p>
        </w:tc>
        <w:tc>
          <w:tcPr>
            <w:tcW w:w="1440" w:type="dxa"/>
            <w:vMerge w:val="restart"/>
            <w:tcBorders>
              <w:top w:val="single" w:sz="4" w:space="0" w:color="auto"/>
              <w:left w:val="single" w:sz="8" w:space="0" w:color="FFFFFF" w:themeColor="background1"/>
              <w:right w:val="single" w:sz="4" w:space="0" w:color="auto"/>
            </w:tcBorders>
            <w:shd w:val="clear" w:color="auto" w:fill="2F5496" w:themeFill="accent1" w:themeFillShade="BF"/>
          </w:tcPr>
          <w:p w14:paraId="100BCD57" w14:textId="77777777" w:rsidR="004F49ED" w:rsidRPr="00C46CCC" w:rsidRDefault="004F49ED" w:rsidP="007B3FBA">
            <w:pPr>
              <w:spacing w:after="0" w:line="240" w:lineRule="auto"/>
              <w:jc w:val="center"/>
              <w:rPr>
                <w:b/>
                <w:color w:val="FFFFFF" w:themeColor="background1"/>
                <w:sz w:val="20"/>
                <w:szCs w:val="20"/>
              </w:rPr>
            </w:pPr>
            <w:r w:rsidRPr="00C46CCC">
              <w:rPr>
                <w:b/>
                <w:color w:val="FFFFFF" w:themeColor="background1"/>
                <w:sz w:val="20"/>
                <w:szCs w:val="20"/>
              </w:rPr>
              <w:t>Existing CCR Landfills</w:t>
            </w:r>
          </w:p>
        </w:tc>
      </w:tr>
      <w:tr w:rsidR="004F49ED" w:rsidRPr="00C46CCC" w14:paraId="2BE6AED4" w14:textId="77777777" w:rsidTr="00D5314B">
        <w:trPr>
          <w:trHeight w:hRule="exact" w:val="612"/>
        </w:trPr>
        <w:tc>
          <w:tcPr>
            <w:tcW w:w="1614" w:type="dxa"/>
            <w:tcBorders>
              <w:left w:val="single" w:sz="4" w:space="0" w:color="auto"/>
            </w:tcBorders>
            <w:shd w:val="clear" w:color="auto" w:fill="2F5496" w:themeFill="accent1" w:themeFillShade="BF"/>
            <w:tcMar>
              <w:top w:w="40" w:type="dxa"/>
              <w:left w:w="81" w:type="dxa"/>
              <w:bottom w:w="40" w:type="dxa"/>
              <w:right w:w="81" w:type="dxa"/>
            </w:tcMar>
            <w:hideMark/>
          </w:tcPr>
          <w:p w14:paraId="07B2D9B4" w14:textId="77777777" w:rsidR="004F49ED" w:rsidRPr="00C46CCC" w:rsidRDefault="004F49ED" w:rsidP="007B3FBA">
            <w:pPr>
              <w:spacing w:after="0" w:line="240" w:lineRule="auto"/>
              <w:ind w:left="360"/>
              <w:rPr>
                <w:color w:val="000000"/>
                <w:sz w:val="20"/>
                <w:szCs w:val="20"/>
              </w:rPr>
            </w:pPr>
          </w:p>
        </w:tc>
        <w:tc>
          <w:tcPr>
            <w:tcW w:w="1437"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1" w:themeFillShade="BF"/>
            <w:tcMar>
              <w:top w:w="15" w:type="dxa"/>
              <w:left w:w="43" w:type="dxa"/>
              <w:bottom w:w="22" w:type="dxa"/>
              <w:right w:w="43" w:type="dxa"/>
            </w:tcMar>
            <w:hideMark/>
          </w:tcPr>
          <w:p w14:paraId="73567414" w14:textId="77777777" w:rsidR="004F49ED" w:rsidRPr="00C46CCC" w:rsidRDefault="004F49ED" w:rsidP="007B3FBA">
            <w:pPr>
              <w:spacing w:after="0" w:line="240" w:lineRule="auto"/>
              <w:ind w:left="26"/>
              <w:jc w:val="center"/>
              <w:rPr>
                <w:color w:val="FFFFFF" w:themeColor="background1"/>
                <w:sz w:val="20"/>
                <w:szCs w:val="20"/>
              </w:rPr>
            </w:pPr>
            <w:r w:rsidRPr="00C46CCC">
              <w:rPr>
                <w:b/>
                <w:color w:val="FFFFFF" w:themeColor="background1"/>
                <w:sz w:val="20"/>
                <w:szCs w:val="20"/>
              </w:rPr>
              <w:t>Closure by Removal</w:t>
            </w:r>
          </w:p>
        </w:tc>
        <w:tc>
          <w:tcPr>
            <w:tcW w:w="162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2F5496" w:themeFill="accent1" w:themeFillShade="BF"/>
            <w:tcMar>
              <w:top w:w="15" w:type="dxa"/>
              <w:left w:w="43" w:type="dxa"/>
              <w:bottom w:w="22" w:type="dxa"/>
              <w:right w:w="43" w:type="dxa"/>
            </w:tcMar>
            <w:hideMark/>
          </w:tcPr>
          <w:p w14:paraId="1C159F54" w14:textId="77777777" w:rsidR="00564DBA" w:rsidRDefault="004F49ED" w:rsidP="007B3FBA">
            <w:pPr>
              <w:spacing w:after="0" w:line="240" w:lineRule="auto"/>
              <w:ind w:left="83"/>
              <w:jc w:val="center"/>
              <w:rPr>
                <w:b/>
                <w:color w:val="FFFFFF" w:themeColor="background1"/>
                <w:sz w:val="20"/>
                <w:szCs w:val="20"/>
              </w:rPr>
            </w:pPr>
            <w:r w:rsidRPr="00C46CCC">
              <w:rPr>
                <w:b/>
                <w:color w:val="FFFFFF" w:themeColor="background1"/>
                <w:sz w:val="20"/>
                <w:szCs w:val="20"/>
              </w:rPr>
              <w:t xml:space="preserve">Closure in </w:t>
            </w:r>
          </w:p>
          <w:p w14:paraId="56B00B1D" w14:textId="340E1A59" w:rsidR="004F49ED" w:rsidRPr="00C46CCC" w:rsidRDefault="004F49ED" w:rsidP="007B3FBA">
            <w:pPr>
              <w:spacing w:after="0" w:line="240" w:lineRule="auto"/>
              <w:ind w:left="83"/>
              <w:jc w:val="center"/>
              <w:rPr>
                <w:color w:val="FFFFFF" w:themeColor="background1"/>
                <w:sz w:val="20"/>
                <w:szCs w:val="20"/>
              </w:rPr>
            </w:pPr>
            <w:r w:rsidRPr="00C46CCC">
              <w:rPr>
                <w:b/>
                <w:color w:val="FFFFFF" w:themeColor="background1"/>
                <w:sz w:val="20"/>
                <w:szCs w:val="20"/>
              </w:rPr>
              <w:t>Place</w:t>
            </w:r>
          </w:p>
        </w:tc>
        <w:tc>
          <w:tcPr>
            <w:tcW w:w="1258" w:type="dxa"/>
            <w:tcBorders>
              <w:top w:val="single" w:sz="12" w:space="0" w:color="FFFFFF" w:themeColor="background1"/>
              <w:left w:val="single" w:sz="12" w:space="0" w:color="FFFFFF" w:themeColor="background1"/>
              <w:bottom w:val="single" w:sz="12" w:space="0" w:color="FFFFFF" w:themeColor="background1"/>
              <w:right w:val="single" w:sz="8" w:space="0" w:color="FFFFFF" w:themeColor="background1"/>
            </w:tcBorders>
            <w:shd w:val="clear" w:color="auto" w:fill="2F5496" w:themeFill="accent1" w:themeFillShade="BF"/>
            <w:tcMar>
              <w:top w:w="15" w:type="dxa"/>
              <w:left w:w="43" w:type="dxa"/>
              <w:bottom w:w="22" w:type="dxa"/>
              <w:right w:w="43" w:type="dxa"/>
            </w:tcMar>
            <w:hideMark/>
          </w:tcPr>
          <w:p w14:paraId="3AA74E72" w14:textId="77777777" w:rsidR="004F49ED" w:rsidRPr="00C46CCC" w:rsidRDefault="004F49ED" w:rsidP="007B3FBA">
            <w:pPr>
              <w:spacing w:after="0" w:line="240" w:lineRule="auto"/>
              <w:jc w:val="center"/>
              <w:rPr>
                <w:color w:val="FFFFFF" w:themeColor="background1"/>
                <w:sz w:val="20"/>
                <w:szCs w:val="20"/>
              </w:rPr>
            </w:pPr>
            <w:r w:rsidRPr="00C46CCC">
              <w:rPr>
                <w:b/>
                <w:color w:val="FFFFFF" w:themeColor="background1"/>
                <w:sz w:val="20"/>
                <w:szCs w:val="20"/>
              </w:rPr>
              <w:t>Total</w:t>
            </w:r>
          </w:p>
        </w:tc>
        <w:tc>
          <w:tcPr>
            <w:tcW w:w="1440" w:type="dxa"/>
            <w:vMerge/>
            <w:tcBorders>
              <w:right w:val="single" w:sz="4" w:space="0" w:color="auto"/>
            </w:tcBorders>
          </w:tcPr>
          <w:p w14:paraId="3F794F5E" w14:textId="77777777" w:rsidR="004F49ED" w:rsidRPr="00C46CCC" w:rsidRDefault="004F49ED" w:rsidP="007B3FBA">
            <w:pPr>
              <w:spacing w:after="0" w:line="240" w:lineRule="auto"/>
              <w:jc w:val="center"/>
              <w:rPr>
                <w:b/>
                <w:color w:val="FFFFFF" w:themeColor="background1"/>
                <w:sz w:val="20"/>
                <w:szCs w:val="20"/>
              </w:rPr>
            </w:pPr>
          </w:p>
        </w:tc>
      </w:tr>
      <w:tr w:rsidR="004F49ED" w:rsidRPr="00C46CCC" w14:paraId="1A061B5C"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tcPr>
          <w:p w14:paraId="4BCDC126" w14:textId="77777777" w:rsidR="004F49ED" w:rsidRPr="00C46CCC" w:rsidRDefault="004F49ED" w:rsidP="007B3FBA">
            <w:pPr>
              <w:spacing w:after="0" w:line="240" w:lineRule="auto"/>
              <w:rPr>
                <w:b/>
                <w:color w:val="000000"/>
                <w:sz w:val="20"/>
                <w:szCs w:val="20"/>
              </w:rPr>
            </w:pPr>
            <w:r w:rsidRPr="00C46CCC">
              <w:rPr>
                <w:b/>
                <w:color w:val="000000"/>
                <w:sz w:val="20"/>
                <w:szCs w:val="20"/>
              </w:rPr>
              <w:t>Arkwright</w:t>
            </w:r>
          </w:p>
        </w:tc>
        <w:tc>
          <w:tcPr>
            <w:tcW w:w="1437"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tcPr>
          <w:p w14:paraId="2F77A93F" w14:textId="77777777" w:rsidR="004F49ED" w:rsidRPr="00C46CCC" w:rsidRDefault="004F49ED" w:rsidP="007B3FBA">
            <w:pPr>
              <w:spacing w:after="0" w:line="240" w:lineRule="auto"/>
              <w:ind w:left="360"/>
              <w:jc w:val="center"/>
              <w:rPr>
                <w:color w:val="000000"/>
                <w:sz w:val="20"/>
                <w:szCs w:val="20"/>
              </w:rPr>
            </w:pPr>
          </w:p>
        </w:tc>
        <w:tc>
          <w:tcPr>
            <w:tcW w:w="16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tcPr>
          <w:p w14:paraId="1CA49295" w14:textId="77777777" w:rsidR="004F49ED" w:rsidRPr="00C46CCC" w:rsidRDefault="004F49ED" w:rsidP="007B3FBA">
            <w:pPr>
              <w:spacing w:after="0" w:line="240" w:lineRule="auto"/>
              <w:ind w:left="18"/>
              <w:jc w:val="center"/>
              <w:rPr>
                <w:color w:val="000000"/>
                <w:sz w:val="20"/>
                <w:szCs w:val="20"/>
              </w:rPr>
            </w:pPr>
          </w:p>
        </w:tc>
        <w:tc>
          <w:tcPr>
            <w:tcW w:w="1258" w:type="dxa"/>
            <w:tcBorders>
              <w:top w:val="single" w:sz="12" w:space="0" w:color="FFFFFF" w:themeColor="background1"/>
              <w:left w:val="single" w:sz="12" w:space="0" w:color="FFFFFF" w:themeColor="background1"/>
              <w:bottom w:val="nil"/>
              <w:right w:val="single" w:sz="4" w:space="0" w:color="auto"/>
            </w:tcBorders>
            <w:shd w:val="clear" w:color="auto" w:fill="E9E9E9"/>
            <w:tcMar>
              <w:top w:w="22" w:type="dxa"/>
              <w:left w:w="81" w:type="dxa"/>
              <w:bottom w:w="22" w:type="dxa"/>
              <w:right w:w="81" w:type="dxa"/>
            </w:tcMar>
          </w:tcPr>
          <w:p w14:paraId="7098168C" w14:textId="77777777" w:rsidR="004F49ED" w:rsidRPr="00C46CCC" w:rsidRDefault="004F49ED" w:rsidP="007B3FBA">
            <w:pPr>
              <w:spacing w:after="0" w:line="240" w:lineRule="auto"/>
              <w:ind w:left="18"/>
              <w:jc w:val="center"/>
              <w:rPr>
                <w:b/>
                <w:color w:val="000000"/>
                <w:sz w:val="20"/>
                <w:szCs w:val="20"/>
              </w:rPr>
            </w:pPr>
          </w:p>
        </w:tc>
        <w:tc>
          <w:tcPr>
            <w:tcW w:w="1440" w:type="dxa"/>
            <w:tcBorders>
              <w:top w:val="single" w:sz="12" w:space="0" w:color="FFFFFF" w:themeColor="background1"/>
              <w:left w:val="single" w:sz="12" w:space="0" w:color="FFFFFF" w:themeColor="background1"/>
              <w:bottom w:val="single" w:sz="12" w:space="0" w:color="FFFFFF" w:themeColor="background1"/>
              <w:right w:val="single" w:sz="4" w:space="0" w:color="auto"/>
            </w:tcBorders>
            <w:shd w:val="clear" w:color="auto" w:fill="E9E9E9"/>
          </w:tcPr>
          <w:p w14:paraId="15A5F073" w14:textId="77777777" w:rsidR="004F49ED" w:rsidRPr="00C46CCC" w:rsidRDefault="004F49ED" w:rsidP="007B3FBA">
            <w:pPr>
              <w:spacing w:after="0" w:line="240" w:lineRule="auto"/>
              <w:ind w:left="18"/>
              <w:jc w:val="center"/>
              <w:rPr>
                <w:b/>
                <w:color w:val="000000"/>
                <w:sz w:val="20"/>
                <w:szCs w:val="20"/>
              </w:rPr>
            </w:pPr>
            <w:r w:rsidRPr="00C46CCC">
              <w:rPr>
                <w:b/>
                <w:color w:val="000000" w:themeColor="text1"/>
                <w:sz w:val="20"/>
                <w:szCs w:val="20"/>
              </w:rPr>
              <w:t>3</w:t>
            </w:r>
          </w:p>
        </w:tc>
      </w:tr>
      <w:tr w:rsidR="004F49ED" w:rsidRPr="00C46CCC" w14:paraId="29F197A8"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77545902" w14:textId="77777777" w:rsidR="004F49ED" w:rsidRPr="00C46CCC" w:rsidRDefault="004F49ED" w:rsidP="007B3FBA">
            <w:pPr>
              <w:spacing w:after="0" w:line="240" w:lineRule="auto"/>
              <w:rPr>
                <w:color w:val="000000"/>
                <w:sz w:val="20"/>
                <w:szCs w:val="20"/>
              </w:rPr>
            </w:pPr>
            <w:r w:rsidRPr="00C46CCC">
              <w:rPr>
                <w:b/>
                <w:color w:val="000000"/>
                <w:sz w:val="20"/>
                <w:szCs w:val="20"/>
              </w:rPr>
              <w:t>Bowen</w:t>
            </w:r>
          </w:p>
        </w:tc>
        <w:tc>
          <w:tcPr>
            <w:tcW w:w="1437"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79E79197" w14:textId="77777777" w:rsidR="004F49ED" w:rsidRPr="00C46CCC" w:rsidRDefault="004F49ED" w:rsidP="007B3FBA">
            <w:pPr>
              <w:spacing w:after="0" w:line="240" w:lineRule="auto"/>
              <w:ind w:left="360"/>
              <w:jc w:val="center"/>
              <w:rPr>
                <w:color w:val="000000"/>
                <w:sz w:val="20"/>
                <w:szCs w:val="20"/>
              </w:rPr>
            </w:pPr>
          </w:p>
        </w:tc>
        <w:tc>
          <w:tcPr>
            <w:tcW w:w="16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43C95567" w14:textId="77777777" w:rsidR="004F49ED" w:rsidRPr="00C46CCC" w:rsidRDefault="004F49ED" w:rsidP="007B3FBA">
            <w:pPr>
              <w:spacing w:after="0" w:line="240" w:lineRule="auto"/>
              <w:ind w:left="18"/>
              <w:jc w:val="center"/>
              <w:rPr>
                <w:color w:val="000000"/>
                <w:sz w:val="20"/>
                <w:szCs w:val="20"/>
              </w:rPr>
            </w:pPr>
            <w:r w:rsidRPr="00C46CCC">
              <w:rPr>
                <w:color w:val="000000"/>
                <w:sz w:val="20"/>
                <w:szCs w:val="20"/>
              </w:rPr>
              <w:t>1</w:t>
            </w:r>
          </w:p>
        </w:tc>
        <w:tc>
          <w:tcPr>
            <w:tcW w:w="1258" w:type="dxa"/>
            <w:tcBorders>
              <w:top w:val="single" w:sz="12" w:space="0" w:color="FFFFFF" w:themeColor="background1"/>
              <w:left w:val="single" w:sz="12" w:space="0" w:color="FFFFFF" w:themeColor="background1"/>
              <w:bottom w:val="nil"/>
              <w:right w:val="single" w:sz="4" w:space="0" w:color="auto"/>
            </w:tcBorders>
            <w:shd w:val="clear" w:color="auto" w:fill="FFFFFF" w:themeFill="background1"/>
            <w:tcMar>
              <w:top w:w="22" w:type="dxa"/>
              <w:left w:w="81" w:type="dxa"/>
              <w:bottom w:w="22" w:type="dxa"/>
              <w:right w:w="81" w:type="dxa"/>
            </w:tcMar>
            <w:hideMark/>
          </w:tcPr>
          <w:p w14:paraId="1DDE1A86"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1</w:t>
            </w:r>
          </w:p>
        </w:tc>
        <w:tc>
          <w:tcPr>
            <w:tcW w:w="1440" w:type="dxa"/>
            <w:tcBorders>
              <w:top w:val="single" w:sz="12" w:space="0" w:color="FFFFFF" w:themeColor="background1"/>
              <w:left w:val="single" w:sz="12" w:space="0" w:color="FFFFFF" w:themeColor="background1"/>
              <w:bottom w:val="nil"/>
              <w:right w:val="single" w:sz="4" w:space="0" w:color="auto"/>
            </w:tcBorders>
            <w:shd w:val="clear" w:color="auto" w:fill="FFFFFF" w:themeFill="background1"/>
          </w:tcPr>
          <w:p w14:paraId="6CAC52CE" w14:textId="77777777" w:rsidR="004F49ED" w:rsidRPr="00C46CCC" w:rsidRDefault="004F49ED" w:rsidP="007B3FBA">
            <w:pPr>
              <w:spacing w:after="0" w:line="240" w:lineRule="auto"/>
              <w:ind w:left="18"/>
              <w:jc w:val="center"/>
              <w:rPr>
                <w:b/>
                <w:color w:val="000000"/>
                <w:sz w:val="20"/>
                <w:szCs w:val="20"/>
              </w:rPr>
            </w:pPr>
            <w:r w:rsidRPr="00C46CCC">
              <w:rPr>
                <w:b/>
                <w:color w:val="000000"/>
                <w:sz w:val="20"/>
                <w:szCs w:val="20"/>
              </w:rPr>
              <w:t>1</w:t>
            </w:r>
          </w:p>
        </w:tc>
      </w:tr>
      <w:tr w:rsidR="004F49ED" w:rsidRPr="00C46CCC" w14:paraId="258EC94C"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hideMark/>
          </w:tcPr>
          <w:p w14:paraId="3453D462" w14:textId="77777777" w:rsidR="004F49ED" w:rsidRPr="00C46CCC" w:rsidRDefault="004F49ED" w:rsidP="007B3FBA">
            <w:pPr>
              <w:spacing w:after="0" w:line="240" w:lineRule="auto"/>
              <w:rPr>
                <w:color w:val="000000"/>
                <w:sz w:val="20"/>
                <w:szCs w:val="20"/>
              </w:rPr>
            </w:pPr>
            <w:r w:rsidRPr="00C46CCC">
              <w:rPr>
                <w:b/>
                <w:color w:val="000000"/>
                <w:sz w:val="20"/>
                <w:szCs w:val="20"/>
              </w:rPr>
              <w:t>Branch</w:t>
            </w:r>
          </w:p>
        </w:tc>
        <w:tc>
          <w:tcPr>
            <w:tcW w:w="1437"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hideMark/>
          </w:tcPr>
          <w:p w14:paraId="0F0790F7" w14:textId="77777777" w:rsidR="004F49ED" w:rsidRPr="00C46CCC" w:rsidRDefault="004F49ED" w:rsidP="007B3FBA">
            <w:pPr>
              <w:spacing w:after="0" w:line="240" w:lineRule="auto"/>
              <w:jc w:val="center"/>
              <w:rPr>
                <w:color w:val="000000"/>
                <w:sz w:val="20"/>
                <w:szCs w:val="20"/>
              </w:rPr>
            </w:pPr>
            <w:r w:rsidRPr="00C46CCC">
              <w:rPr>
                <w:color w:val="000000"/>
                <w:sz w:val="20"/>
                <w:szCs w:val="20"/>
              </w:rPr>
              <w:t>5</w:t>
            </w:r>
          </w:p>
        </w:tc>
        <w:tc>
          <w:tcPr>
            <w:tcW w:w="1622"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hideMark/>
          </w:tcPr>
          <w:p w14:paraId="305113A5" w14:textId="77777777" w:rsidR="004F49ED" w:rsidRPr="00C46CCC" w:rsidRDefault="004F49ED" w:rsidP="007B3FBA">
            <w:pPr>
              <w:spacing w:after="0" w:line="240" w:lineRule="auto"/>
              <w:ind w:left="360"/>
              <w:jc w:val="center"/>
              <w:rPr>
                <w:color w:val="000000"/>
                <w:sz w:val="20"/>
                <w:szCs w:val="20"/>
              </w:rPr>
            </w:pPr>
          </w:p>
        </w:tc>
        <w:tc>
          <w:tcPr>
            <w:tcW w:w="1258" w:type="dxa"/>
            <w:tcBorders>
              <w:top w:val="nil"/>
              <w:left w:val="single" w:sz="12" w:space="0" w:color="FFFFFF" w:themeColor="background1"/>
              <w:bottom w:val="nil"/>
              <w:right w:val="single" w:sz="4" w:space="0" w:color="auto"/>
            </w:tcBorders>
            <w:shd w:val="clear" w:color="auto" w:fill="E9E9E9"/>
            <w:tcMar>
              <w:top w:w="22" w:type="dxa"/>
              <w:left w:w="81" w:type="dxa"/>
              <w:bottom w:w="22" w:type="dxa"/>
              <w:right w:w="81" w:type="dxa"/>
            </w:tcMar>
            <w:hideMark/>
          </w:tcPr>
          <w:p w14:paraId="316B7875"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5</w:t>
            </w:r>
          </w:p>
        </w:tc>
        <w:tc>
          <w:tcPr>
            <w:tcW w:w="1440" w:type="dxa"/>
            <w:tcBorders>
              <w:top w:val="nil"/>
              <w:left w:val="single" w:sz="12" w:space="0" w:color="FFFFFF" w:themeColor="background1"/>
              <w:bottom w:val="nil"/>
              <w:right w:val="single" w:sz="4" w:space="0" w:color="auto"/>
            </w:tcBorders>
            <w:shd w:val="clear" w:color="auto" w:fill="E9E9E9"/>
          </w:tcPr>
          <w:p w14:paraId="02F90057" w14:textId="33B8D02F" w:rsidR="004F49ED" w:rsidRPr="00C46CCC" w:rsidRDefault="004F49ED" w:rsidP="007B3FBA">
            <w:pPr>
              <w:spacing w:after="0" w:line="240" w:lineRule="auto"/>
              <w:ind w:left="18"/>
              <w:jc w:val="center"/>
              <w:rPr>
                <w:b/>
                <w:color w:val="000000"/>
                <w:sz w:val="20"/>
                <w:szCs w:val="20"/>
              </w:rPr>
            </w:pPr>
          </w:p>
        </w:tc>
      </w:tr>
      <w:tr w:rsidR="004F49ED" w:rsidRPr="00C46CCC" w14:paraId="1CB27EF6"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71CD2B38" w14:textId="77777777" w:rsidR="004F49ED" w:rsidRPr="00C46CCC" w:rsidRDefault="004F49ED" w:rsidP="007B3FBA">
            <w:pPr>
              <w:spacing w:after="0" w:line="240" w:lineRule="auto"/>
              <w:rPr>
                <w:color w:val="000000"/>
                <w:sz w:val="20"/>
                <w:szCs w:val="20"/>
              </w:rPr>
            </w:pPr>
            <w:r w:rsidRPr="00C46CCC">
              <w:rPr>
                <w:b/>
                <w:color w:val="000000"/>
                <w:sz w:val="20"/>
                <w:szCs w:val="20"/>
              </w:rPr>
              <w:t>Hammond</w:t>
            </w:r>
          </w:p>
        </w:tc>
        <w:tc>
          <w:tcPr>
            <w:tcW w:w="1437"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6700068B" w14:textId="77777777" w:rsidR="004F49ED" w:rsidRPr="00C46CCC" w:rsidRDefault="004F49ED" w:rsidP="007B3FBA">
            <w:pPr>
              <w:spacing w:after="0" w:line="240" w:lineRule="auto"/>
              <w:ind w:left="-4"/>
              <w:jc w:val="center"/>
              <w:rPr>
                <w:color w:val="000000"/>
                <w:sz w:val="20"/>
                <w:szCs w:val="20"/>
              </w:rPr>
            </w:pPr>
            <w:r w:rsidRPr="00C46CCC">
              <w:rPr>
                <w:color w:val="000000"/>
                <w:sz w:val="20"/>
                <w:szCs w:val="20"/>
              </w:rPr>
              <w:t>3</w:t>
            </w:r>
          </w:p>
        </w:tc>
        <w:tc>
          <w:tcPr>
            <w:tcW w:w="1622"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0707DE70" w14:textId="77777777" w:rsidR="004F49ED" w:rsidRPr="00C46CCC" w:rsidRDefault="004F49ED" w:rsidP="007B3FBA">
            <w:pPr>
              <w:spacing w:after="0" w:line="240" w:lineRule="auto"/>
              <w:ind w:left="18"/>
              <w:jc w:val="center"/>
              <w:rPr>
                <w:color w:val="000000"/>
                <w:sz w:val="20"/>
                <w:szCs w:val="20"/>
              </w:rPr>
            </w:pPr>
            <w:r w:rsidRPr="00C46CCC">
              <w:rPr>
                <w:color w:val="000000"/>
                <w:sz w:val="20"/>
                <w:szCs w:val="20"/>
              </w:rPr>
              <w:t>1</w:t>
            </w:r>
          </w:p>
        </w:tc>
        <w:tc>
          <w:tcPr>
            <w:tcW w:w="1258" w:type="dxa"/>
            <w:tcBorders>
              <w:top w:val="nil"/>
              <w:left w:val="single" w:sz="12" w:space="0" w:color="FFFFFF" w:themeColor="background1"/>
              <w:bottom w:val="nil"/>
              <w:right w:val="single" w:sz="4" w:space="0" w:color="auto"/>
            </w:tcBorders>
            <w:shd w:val="clear" w:color="auto" w:fill="FFFFFF" w:themeFill="background1"/>
            <w:tcMar>
              <w:top w:w="22" w:type="dxa"/>
              <w:left w:w="81" w:type="dxa"/>
              <w:bottom w:w="22" w:type="dxa"/>
              <w:right w:w="81" w:type="dxa"/>
            </w:tcMar>
            <w:hideMark/>
          </w:tcPr>
          <w:p w14:paraId="53ED1D4B"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4</w:t>
            </w:r>
          </w:p>
        </w:tc>
        <w:tc>
          <w:tcPr>
            <w:tcW w:w="1440" w:type="dxa"/>
            <w:tcBorders>
              <w:top w:val="nil"/>
              <w:left w:val="single" w:sz="12" w:space="0" w:color="FFFFFF" w:themeColor="background1"/>
              <w:bottom w:val="nil"/>
              <w:right w:val="single" w:sz="4" w:space="0" w:color="auto"/>
            </w:tcBorders>
            <w:shd w:val="clear" w:color="auto" w:fill="FFFFFF" w:themeFill="background1"/>
          </w:tcPr>
          <w:p w14:paraId="4A899F56" w14:textId="77777777" w:rsidR="004F49ED" w:rsidRPr="00C46CCC" w:rsidRDefault="004F49ED" w:rsidP="007B3FBA">
            <w:pPr>
              <w:spacing w:after="0" w:line="240" w:lineRule="auto"/>
              <w:ind w:left="18"/>
              <w:jc w:val="center"/>
              <w:rPr>
                <w:b/>
                <w:color w:val="000000"/>
                <w:sz w:val="20"/>
                <w:szCs w:val="20"/>
              </w:rPr>
            </w:pPr>
            <w:r w:rsidRPr="00C46CCC">
              <w:rPr>
                <w:b/>
                <w:color w:val="000000"/>
                <w:sz w:val="20"/>
                <w:szCs w:val="20"/>
              </w:rPr>
              <w:t>1</w:t>
            </w:r>
          </w:p>
        </w:tc>
      </w:tr>
      <w:tr w:rsidR="004F49ED" w:rsidRPr="00C46CCC" w14:paraId="120457FC"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hideMark/>
          </w:tcPr>
          <w:p w14:paraId="06BD593F" w14:textId="77777777" w:rsidR="004F49ED" w:rsidRPr="00C46CCC" w:rsidRDefault="004F49ED" w:rsidP="007B3FBA">
            <w:pPr>
              <w:spacing w:after="0" w:line="240" w:lineRule="auto"/>
              <w:rPr>
                <w:color w:val="000000"/>
                <w:sz w:val="20"/>
                <w:szCs w:val="20"/>
              </w:rPr>
            </w:pPr>
            <w:r w:rsidRPr="00C46CCC">
              <w:rPr>
                <w:b/>
                <w:color w:val="000000"/>
                <w:sz w:val="20"/>
                <w:szCs w:val="20"/>
              </w:rPr>
              <w:t>Kraft</w:t>
            </w:r>
          </w:p>
        </w:tc>
        <w:tc>
          <w:tcPr>
            <w:tcW w:w="1437"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hideMark/>
          </w:tcPr>
          <w:p w14:paraId="29156A01" w14:textId="77777777" w:rsidR="004F49ED" w:rsidRPr="00C46CCC" w:rsidRDefault="004F49ED" w:rsidP="007B3FBA">
            <w:pPr>
              <w:spacing w:after="0" w:line="240" w:lineRule="auto"/>
              <w:jc w:val="center"/>
              <w:rPr>
                <w:color w:val="000000"/>
                <w:sz w:val="20"/>
                <w:szCs w:val="20"/>
              </w:rPr>
            </w:pPr>
            <w:r w:rsidRPr="00C46CCC">
              <w:rPr>
                <w:color w:val="000000"/>
                <w:sz w:val="20"/>
                <w:szCs w:val="20"/>
              </w:rPr>
              <w:t>1</w:t>
            </w:r>
          </w:p>
        </w:tc>
        <w:tc>
          <w:tcPr>
            <w:tcW w:w="1622" w:type="dxa"/>
            <w:tcBorders>
              <w:top w:val="nil"/>
              <w:left w:val="single" w:sz="12" w:space="0" w:color="FFFFFF" w:themeColor="background1"/>
              <w:bottom w:val="nil"/>
              <w:right w:val="single" w:sz="12" w:space="0" w:color="FFFFFF" w:themeColor="background1"/>
            </w:tcBorders>
            <w:shd w:val="clear" w:color="auto" w:fill="EAEAEA"/>
            <w:tcMar>
              <w:top w:w="22" w:type="dxa"/>
              <w:left w:w="81" w:type="dxa"/>
              <w:bottom w:w="22" w:type="dxa"/>
              <w:right w:w="81" w:type="dxa"/>
            </w:tcMar>
            <w:hideMark/>
          </w:tcPr>
          <w:p w14:paraId="359070F8" w14:textId="77777777" w:rsidR="004F49ED" w:rsidRPr="00C46CCC" w:rsidRDefault="004F49ED" w:rsidP="007B3FBA">
            <w:pPr>
              <w:spacing w:after="0" w:line="240" w:lineRule="auto"/>
              <w:ind w:left="360"/>
              <w:jc w:val="center"/>
              <w:rPr>
                <w:color w:val="000000"/>
                <w:sz w:val="20"/>
                <w:szCs w:val="20"/>
              </w:rPr>
            </w:pPr>
          </w:p>
        </w:tc>
        <w:tc>
          <w:tcPr>
            <w:tcW w:w="1258" w:type="dxa"/>
            <w:tcBorders>
              <w:top w:val="nil"/>
              <w:left w:val="single" w:sz="12" w:space="0" w:color="FFFFFF" w:themeColor="background1"/>
              <w:bottom w:val="nil"/>
              <w:right w:val="single" w:sz="4" w:space="0" w:color="auto"/>
            </w:tcBorders>
            <w:shd w:val="clear" w:color="auto" w:fill="EAEAEA"/>
            <w:tcMar>
              <w:top w:w="22" w:type="dxa"/>
              <w:left w:w="81" w:type="dxa"/>
              <w:bottom w:w="22" w:type="dxa"/>
              <w:right w:w="81" w:type="dxa"/>
            </w:tcMar>
            <w:hideMark/>
          </w:tcPr>
          <w:p w14:paraId="014AB450"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1</w:t>
            </w:r>
          </w:p>
        </w:tc>
        <w:tc>
          <w:tcPr>
            <w:tcW w:w="1440" w:type="dxa"/>
            <w:tcBorders>
              <w:top w:val="nil"/>
              <w:left w:val="single" w:sz="12" w:space="0" w:color="FFFFFF" w:themeColor="background1"/>
              <w:bottom w:val="nil"/>
              <w:right w:val="single" w:sz="4" w:space="0" w:color="auto"/>
            </w:tcBorders>
            <w:shd w:val="clear" w:color="auto" w:fill="EAEAEA"/>
          </w:tcPr>
          <w:p w14:paraId="29F408DA" w14:textId="77777777" w:rsidR="004F49ED" w:rsidRPr="00C46CCC" w:rsidRDefault="004F49ED" w:rsidP="007B3FBA">
            <w:pPr>
              <w:spacing w:after="0" w:line="240" w:lineRule="auto"/>
              <w:ind w:left="18"/>
              <w:jc w:val="center"/>
              <w:rPr>
                <w:b/>
                <w:color w:val="000000"/>
                <w:sz w:val="20"/>
                <w:szCs w:val="20"/>
              </w:rPr>
            </w:pPr>
            <w:r w:rsidRPr="00C46CCC">
              <w:rPr>
                <w:b/>
                <w:color w:val="000000"/>
                <w:sz w:val="20"/>
                <w:szCs w:val="20"/>
              </w:rPr>
              <w:t>1</w:t>
            </w:r>
          </w:p>
        </w:tc>
      </w:tr>
      <w:tr w:rsidR="004F49ED" w:rsidRPr="00C46CCC" w14:paraId="666CE8A1"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4BB013C8" w14:textId="77777777" w:rsidR="004F49ED" w:rsidRPr="00C46CCC" w:rsidRDefault="004F49ED" w:rsidP="007B3FBA">
            <w:pPr>
              <w:spacing w:after="0" w:line="240" w:lineRule="auto"/>
              <w:rPr>
                <w:color w:val="000000" w:themeColor="text1"/>
                <w:sz w:val="20"/>
                <w:szCs w:val="20"/>
              </w:rPr>
            </w:pPr>
            <w:r w:rsidRPr="00C46CCC">
              <w:rPr>
                <w:b/>
                <w:color w:val="000000"/>
                <w:sz w:val="20"/>
                <w:szCs w:val="20"/>
              </w:rPr>
              <w:t>McDonough</w:t>
            </w:r>
          </w:p>
        </w:tc>
        <w:tc>
          <w:tcPr>
            <w:tcW w:w="1437"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3CF3CED0" w14:textId="77777777" w:rsidR="004F49ED" w:rsidRPr="00C46CCC" w:rsidRDefault="004F49ED" w:rsidP="007B3FBA">
            <w:pPr>
              <w:spacing w:after="0" w:line="240" w:lineRule="auto"/>
              <w:jc w:val="center"/>
              <w:rPr>
                <w:color w:val="000000"/>
                <w:sz w:val="20"/>
                <w:szCs w:val="20"/>
              </w:rPr>
            </w:pPr>
            <w:r w:rsidRPr="00C46CCC">
              <w:rPr>
                <w:color w:val="000000"/>
                <w:sz w:val="20"/>
                <w:szCs w:val="20"/>
              </w:rPr>
              <w:t>1</w:t>
            </w:r>
          </w:p>
        </w:tc>
        <w:tc>
          <w:tcPr>
            <w:tcW w:w="1622"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7051D9FA" w14:textId="77777777" w:rsidR="004F49ED" w:rsidRPr="00C46CCC" w:rsidRDefault="004F49ED" w:rsidP="007B3FBA">
            <w:pPr>
              <w:spacing w:after="0" w:line="240" w:lineRule="auto"/>
              <w:ind w:left="18"/>
              <w:jc w:val="center"/>
              <w:rPr>
                <w:color w:val="000000"/>
                <w:sz w:val="20"/>
                <w:szCs w:val="20"/>
              </w:rPr>
            </w:pPr>
            <w:r w:rsidRPr="00C46CCC">
              <w:rPr>
                <w:color w:val="000000"/>
                <w:sz w:val="20"/>
                <w:szCs w:val="20"/>
              </w:rPr>
              <w:t>3</w:t>
            </w:r>
          </w:p>
        </w:tc>
        <w:tc>
          <w:tcPr>
            <w:tcW w:w="1258" w:type="dxa"/>
            <w:tcBorders>
              <w:top w:val="nil"/>
              <w:left w:val="single" w:sz="12" w:space="0" w:color="FFFFFF" w:themeColor="background1"/>
              <w:bottom w:val="nil"/>
              <w:right w:val="single" w:sz="4" w:space="0" w:color="auto"/>
            </w:tcBorders>
            <w:shd w:val="clear" w:color="auto" w:fill="FFFFFF" w:themeFill="background1"/>
            <w:tcMar>
              <w:top w:w="22" w:type="dxa"/>
              <w:left w:w="81" w:type="dxa"/>
              <w:bottom w:w="22" w:type="dxa"/>
              <w:right w:w="81" w:type="dxa"/>
            </w:tcMar>
            <w:hideMark/>
          </w:tcPr>
          <w:p w14:paraId="0F24328D"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4</w:t>
            </w:r>
          </w:p>
        </w:tc>
        <w:tc>
          <w:tcPr>
            <w:tcW w:w="1440" w:type="dxa"/>
            <w:tcBorders>
              <w:top w:val="nil"/>
              <w:left w:val="single" w:sz="12" w:space="0" w:color="FFFFFF" w:themeColor="background1"/>
              <w:bottom w:val="nil"/>
              <w:right w:val="single" w:sz="4" w:space="0" w:color="auto"/>
            </w:tcBorders>
            <w:shd w:val="clear" w:color="auto" w:fill="FFFFFF" w:themeFill="background1"/>
          </w:tcPr>
          <w:p w14:paraId="7AB3FFE5" w14:textId="77777777" w:rsidR="004F49ED" w:rsidRPr="00C46CCC" w:rsidRDefault="004F49ED" w:rsidP="007B3FBA">
            <w:pPr>
              <w:spacing w:after="0" w:line="240" w:lineRule="auto"/>
              <w:ind w:left="18"/>
              <w:jc w:val="center"/>
              <w:rPr>
                <w:b/>
                <w:color w:val="000000"/>
                <w:sz w:val="20"/>
                <w:szCs w:val="20"/>
              </w:rPr>
            </w:pPr>
          </w:p>
        </w:tc>
      </w:tr>
      <w:tr w:rsidR="004F49ED" w:rsidRPr="00C46CCC" w14:paraId="433303D2"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hideMark/>
          </w:tcPr>
          <w:p w14:paraId="7B254CD0" w14:textId="77777777" w:rsidR="004F49ED" w:rsidRPr="00C46CCC" w:rsidRDefault="004F49ED" w:rsidP="007B3FBA">
            <w:pPr>
              <w:spacing w:after="0" w:line="240" w:lineRule="auto"/>
              <w:rPr>
                <w:color w:val="000000"/>
                <w:sz w:val="20"/>
                <w:szCs w:val="20"/>
              </w:rPr>
            </w:pPr>
            <w:r w:rsidRPr="00C46CCC">
              <w:rPr>
                <w:b/>
                <w:color w:val="000000"/>
                <w:sz w:val="20"/>
                <w:szCs w:val="20"/>
              </w:rPr>
              <w:t>McIntosh</w:t>
            </w:r>
          </w:p>
        </w:tc>
        <w:tc>
          <w:tcPr>
            <w:tcW w:w="1437"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hideMark/>
          </w:tcPr>
          <w:p w14:paraId="6100D015" w14:textId="77777777" w:rsidR="004F49ED" w:rsidRPr="00C46CCC" w:rsidRDefault="004F49ED" w:rsidP="007B3FBA">
            <w:pPr>
              <w:spacing w:after="0" w:line="240" w:lineRule="auto"/>
              <w:jc w:val="center"/>
              <w:rPr>
                <w:color w:val="000000"/>
                <w:sz w:val="20"/>
                <w:szCs w:val="20"/>
              </w:rPr>
            </w:pPr>
            <w:r w:rsidRPr="00C46CCC">
              <w:rPr>
                <w:color w:val="000000"/>
                <w:sz w:val="20"/>
                <w:szCs w:val="20"/>
              </w:rPr>
              <w:t>1</w:t>
            </w:r>
          </w:p>
        </w:tc>
        <w:tc>
          <w:tcPr>
            <w:tcW w:w="1622"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hideMark/>
          </w:tcPr>
          <w:p w14:paraId="773B8DAB" w14:textId="77777777" w:rsidR="004F49ED" w:rsidRPr="00C46CCC" w:rsidRDefault="004F49ED" w:rsidP="007B3FBA">
            <w:pPr>
              <w:spacing w:after="0" w:line="240" w:lineRule="auto"/>
              <w:ind w:left="360"/>
              <w:jc w:val="center"/>
              <w:rPr>
                <w:color w:val="000000"/>
                <w:sz w:val="20"/>
                <w:szCs w:val="20"/>
              </w:rPr>
            </w:pPr>
          </w:p>
        </w:tc>
        <w:tc>
          <w:tcPr>
            <w:tcW w:w="1258" w:type="dxa"/>
            <w:tcBorders>
              <w:top w:val="nil"/>
              <w:left w:val="single" w:sz="12" w:space="0" w:color="FFFFFF" w:themeColor="background1"/>
              <w:bottom w:val="nil"/>
              <w:right w:val="single" w:sz="4" w:space="0" w:color="auto"/>
            </w:tcBorders>
            <w:shd w:val="clear" w:color="auto" w:fill="E9E9E9"/>
            <w:tcMar>
              <w:top w:w="22" w:type="dxa"/>
              <w:left w:w="81" w:type="dxa"/>
              <w:bottom w:w="22" w:type="dxa"/>
              <w:right w:w="81" w:type="dxa"/>
            </w:tcMar>
            <w:hideMark/>
          </w:tcPr>
          <w:p w14:paraId="42B6C35F"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1</w:t>
            </w:r>
          </w:p>
        </w:tc>
        <w:tc>
          <w:tcPr>
            <w:tcW w:w="1440" w:type="dxa"/>
            <w:tcBorders>
              <w:top w:val="nil"/>
              <w:left w:val="single" w:sz="12" w:space="0" w:color="FFFFFF" w:themeColor="background1"/>
              <w:bottom w:val="nil"/>
              <w:right w:val="single" w:sz="4" w:space="0" w:color="auto"/>
            </w:tcBorders>
            <w:shd w:val="clear" w:color="auto" w:fill="E9E9E9"/>
          </w:tcPr>
          <w:p w14:paraId="7871DCDD" w14:textId="77777777" w:rsidR="004F49ED" w:rsidRPr="00C46CCC" w:rsidRDefault="004F49ED" w:rsidP="007B3FBA">
            <w:pPr>
              <w:spacing w:after="0" w:line="240" w:lineRule="auto"/>
              <w:ind w:left="18"/>
              <w:jc w:val="center"/>
              <w:rPr>
                <w:b/>
                <w:color w:val="000000"/>
                <w:sz w:val="20"/>
                <w:szCs w:val="20"/>
              </w:rPr>
            </w:pPr>
            <w:r w:rsidRPr="00C46CCC">
              <w:rPr>
                <w:b/>
                <w:color w:val="000000"/>
                <w:sz w:val="20"/>
                <w:szCs w:val="20"/>
              </w:rPr>
              <w:t>2</w:t>
            </w:r>
          </w:p>
        </w:tc>
      </w:tr>
      <w:tr w:rsidR="004F49ED" w:rsidRPr="00C46CCC" w14:paraId="09DB5686"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17265ABF" w14:textId="77777777" w:rsidR="004F49ED" w:rsidRPr="00C46CCC" w:rsidRDefault="004F49ED" w:rsidP="007B3FBA">
            <w:pPr>
              <w:spacing w:after="0" w:line="240" w:lineRule="auto"/>
              <w:rPr>
                <w:color w:val="000000"/>
                <w:sz w:val="20"/>
                <w:szCs w:val="20"/>
              </w:rPr>
            </w:pPr>
            <w:r w:rsidRPr="00C46CCC">
              <w:rPr>
                <w:b/>
                <w:color w:val="000000"/>
                <w:sz w:val="20"/>
                <w:szCs w:val="20"/>
              </w:rPr>
              <w:t>McManus</w:t>
            </w:r>
          </w:p>
        </w:tc>
        <w:tc>
          <w:tcPr>
            <w:tcW w:w="1437"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3574017E" w14:textId="77777777" w:rsidR="004F49ED" w:rsidRPr="00C46CCC" w:rsidRDefault="004F49ED" w:rsidP="007B3FBA">
            <w:pPr>
              <w:spacing w:after="0" w:line="240" w:lineRule="auto"/>
              <w:jc w:val="center"/>
              <w:rPr>
                <w:color w:val="000000"/>
                <w:sz w:val="20"/>
                <w:szCs w:val="20"/>
              </w:rPr>
            </w:pPr>
            <w:r w:rsidRPr="00C46CCC">
              <w:rPr>
                <w:color w:val="000000"/>
                <w:sz w:val="20"/>
                <w:szCs w:val="20"/>
              </w:rPr>
              <w:t>1</w:t>
            </w:r>
          </w:p>
        </w:tc>
        <w:tc>
          <w:tcPr>
            <w:tcW w:w="1622"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3E6A09C7" w14:textId="77777777" w:rsidR="004F49ED" w:rsidRPr="00C46CCC" w:rsidRDefault="004F49ED" w:rsidP="007B3FBA">
            <w:pPr>
              <w:spacing w:after="0" w:line="240" w:lineRule="auto"/>
              <w:ind w:left="360"/>
              <w:jc w:val="center"/>
              <w:rPr>
                <w:color w:val="000000"/>
                <w:sz w:val="20"/>
                <w:szCs w:val="20"/>
              </w:rPr>
            </w:pPr>
          </w:p>
        </w:tc>
        <w:tc>
          <w:tcPr>
            <w:tcW w:w="1258" w:type="dxa"/>
            <w:tcBorders>
              <w:top w:val="nil"/>
              <w:left w:val="single" w:sz="12" w:space="0" w:color="FFFFFF" w:themeColor="background1"/>
              <w:bottom w:val="nil"/>
              <w:right w:val="single" w:sz="4" w:space="0" w:color="auto"/>
            </w:tcBorders>
            <w:shd w:val="clear" w:color="auto" w:fill="FFFFFF" w:themeFill="background1"/>
            <w:tcMar>
              <w:top w:w="22" w:type="dxa"/>
              <w:left w:w="81" w:type="dxa"/>
              <w:bottom w:w="22" w:type="dxa"/>
              <w:right w:w="81" w:type="dxa"/>
            </w:tcMar>
            <w:hideMark/>
          </w:tcPr>
          <w:p w14:paraId="0505EA51"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1</w:t>
            </w:r>
          </w:p>
        </w:tc>
        <w:tc>
          <w:tcPr>
            <w:tcW w:w="1440" w:type="dxa"/>
            <w:tcBorders>
              <w:top w:val="nil"/>
              <w:left w:val="single" w:sz="12" w:space="0" w:color="FFFFFF" w:themeColor="background1"/>
              <w:bottom w:val="nil"/>
              <w:right w:val="single" w:sz="4" w:space="0" w:color="auto"/>
            </w:tcBorders>
            <w:shd w:val="clear" w:color="auto" w:fill="FFFFFF" w:themeFill="background1"/>
          </w:tcPr>
          <w:p w14:paraId="4EFAE2CB" w14:textId="77777777" w:rsidR="004F49ED" w:rsidRPr="00C46CCC" w:rsidRDefault="004F49ED" w:rsidP="007B3FBA">
            <w:pPr>
              <w:spacing w:after="0" w:line="240" w:lineRule="auto"/>
              <w:ind w:left="18"/>
              <w:jc w:val="center"/>
              <w:rPr>
                <w:b/>
                <w:color w:val="000000"/>
                <w:sz w:val="20"/>
                <w:szCs w:val="20"/>
              </w:rPr>
            </w:pPr>
          </w:p>
        </w:tc>
      </w:tr>
      <w:tr w:rsidR="004F49ED" w:rsidRPr="00C46CCC" w14:paraId="64086B34"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hideMark/>
          </w:tcPr>
          <w:p w14:paraId="3E92FED0" w14:textId="77777777" w:rsidR="004F49ED" w:rsidRPr="00C46CCC" w:rsidRDefault="004F49ED" w:rsidP="007B3FBA">
            <w:pPr>
              <w:spacing w:after="0" w:line="240" w:lineRule="auto"/>
              <w:rPr>
                <w:color w:val="000000"/>
                <w:sz w:val="20"/>
                <w:szCs w:val="20"/>
              </w:rPr>
            </w:pPr>
            <w:r w:rsidRPr="00C46CCC">
              <w:rPr>
                <w:b/>
                <w:color w:val="000000"/>
                <w:sz w:val="20"/>
                <w:szCs w:val="20"/>
              </w:rPr>
              <w:t>Mitchell</w:t>
            </w:r>
          </w:p>
        </w:tc>
        <w:tc>
          <w:tcPr>
            <w:tcW w:w="1437"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hideMark/>
          </w:tcPr>
          <w:p w14:paraId="28464AE1" w14:textId="77777777" w:rsidR="004F49ED" w:rsidRPr="00C46CCC" w:rsidRDefault="004F49ED" w:rsidP="007B3FBA">
            <w:pPr>
              <w:spacing w:after="0" w:line="240" w:lineRule="auto"/>
              <w:jc w:val="center"/>
              <w:rPr>
                <w:color w:val="000000"/>
                <w:sz w:val="20"/>
                <w:szCs w:val="20"/>
              </w:rPr>
            </w:pPr>
            <w:r w:rsidRPr="00C46CCC">
              <w:rPr>
                <w:color w:val="000000"/>
                <w:sz w:val="20"/>
                <w:szCs w:val="20"/>
              </w:rPr>
              <w:t>3</w:t>
            </w:r>
          </w:p>
        </w:tc>
        <w:tc>
          <w:tcPr>
            <w:tcW w:w="1622"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hideMark/>
          </w:tcPr>
          <w:p w14:paraId="2BB360FF" w14:textId="77777777" w:rsidR="004F49ED" w:rsidRPr="00C46CCC" w:rsidRDefault="004F49ED" w:rsidP="007B3FBA">
            <w:pPr>
              <w:spacing w:after="0" w:line="240" w:lineRule="auto"/>
              <w:ind w:left="360"/>
              <w:jc w:val="center"/>
              <w:rPr>
                <w:color w:val="000000"/>
                <w:sz w:val="20"/>
                <w:szCs w:val="20"/>
              </w:rPr>
            </w:pPr>
          </w:p>
        </w:tc>
        <w:tc>
          <w:tcPr>
            <w:tcW w:w="1258" w:type="dxa"/>
            <w:tcBorders>
              <w:top w:val="nil"/>
              <w:left w:val="single" w:sz="12" w:space="0" w:color="FFFFFF" w:themeColor="background1"/>
              <w:bottom w:val="nil"/>
              <w:right w:val="single" w:sz="4" w:space="0" w:color="auto"/>
            </w:tcBorders>
            <w:shd w:val="clear" w:color="auto" w:fill="E9E9E9"/>
            <w:tcMar>
              <w:top w:w="22" w:type="dxa"/>
              <w:left w:w="81" w:type="dxa"/>
              <w:bottom w:w="22" w:type="dxa"/>
              <w:right w:w="81" w:type="dxa"/>
            </w:tcMar>
            <w:hideMark/>
          </w:tcPr>
          <w:p w14:paraId="1B9CE683" w14:textId="77777777" w:rsidR="004F49ED" w:rsidRPr="00C46CCC" w:rsidRDefault="004F49ED" w:rsidP="007B3FBA">
            <w:pPr>
              <w:spacing w:after="0" w:line="240" w:lineRule="auto"/>
              <w:jc w:val="center"/>
              <w:rPr>
                <w:color w:val="000000"/>
                <w:sz w:val="20"/>
                <w:szCs w:val="20"/>
              </w:rPr>
            </w:pPr>
            <w:r w:rsidRPr="00C46CCC">
              <w:rPr>
                <w:b/>
                <w:color w:val="000000"/>
                <w:sz w:val="20"/>
                <w:szCs w:val="20"/>
              </w:rPr>
              <w:t>3</w:t>
            </w:r>
          </w:p>
        </w:tc>
        <w:tc>
          <w:tcPr>
            <w:tcW w:w="1440" w:type="dxa"/>
            <w:tcBorders>
              <w:top w:val="nil"/>
              <w:left w:val="single" w:sz="12" w:space="0" w:color="FFFFFF" w:themeColor="background1"/>
              <w:bottom w:val="nil"/>
              <w:right w:val="single" w:sz="4" w:space="0" w:color="auto"/>
            </w:tcBorders>
            <w:shd w:val="clear" w:color="auto" w:fill="E9E9E9"/>
          </w:tcPr>
          <w:p w14:paraId="6D43FB31" w14:textId="77777777" w:rsidR="004F49ED" w:rsidRPr="00C46CCC" w:rsidRDefault="004F49ED" w:rsidP="007B3FBA">
            <w:pPr>
              <w:spacing w:after="0" w:line="240" w:lineRule="auto"/>
              <w:jc w:val="center"/>
              <w:rPr>
                <w:b/>
                <w:color w:val="000000"/>
                <w:sz w:val="20"/>
                <w:szCs w:val="20"/>
              </w:rPr>
            </w:pPr>
          </w:p>
        </w:tc>
      </w:tr>
      <w:tr w:rsidR="004F49ED" w:rsidRPr="00C46CCC" w14:paraId="6ECB8E09"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32059304" w14:textId="77777777" w:rsidR="004F49ED" w:rsidRPr="00C46CCC" w:rsidRDefault="004F49ED" w:rsidP="007B3FBA">
            <w:pPr>
              <w:spacing w:after="0" w:line="240" w:lineRule="auto"/>
              <w:rPr>
                <w:color w:val="000000"/>
                <w:sz w:val="20"/>
                <w:szCs w:val="20"/>
              </w:rPr>
            </w:pPr>
            <w:r w:rsidRPr="00C46CCC">
              <w:rPr>
                <w:b/>
                <w:color w:val="000000"/>
                <w:sz w:val="20"/>
                <w:szCs w:val="20"/>
              </w:rPr>
              <w:t>Scherer</w:t>
            </w:r>
          </w:p>
        </w:tc>
        <w:tc>
          <w:tcPr>
            <w:tcW w:w="1437"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1AE5D43A" w14:textId="77777777" w:rsidR="004F49ED" w:rsidRPr="00C46CCC" w:rsidRDefault="004F49ED" w:rsidP="007B3FBA">
            <w:pPr>
              <w:spacing w:after="0" w:line="240" w:lineRule="auto"/>
              <w:ind w:left="360"/>
              <w:jc w:val="center"/>
              <w:rPr>
                <w:color w:val="000000"/>
                <w:sz w:val="20"/>
                <w:szCs w:val="20"/>
              </w:rPr>
            </w:pPr>
          </w:p>
        </w:tc>
        <w:tc>
          <w:tcPr>
            <w:tcW w:w="1622" w:type="dxa"/>
            <w:tcBorders>
              <w:top w:val="nil"/>
              <w:left w:val="single" w:sz="12" w:space="0" w:color="FFFFFF" w:themeColor="background1"/>
              <w:bottom w:val="nil"/>
              <w:right w:val="single" w:sz="12" w:space="0" w:color="FFFFFF" w:themeColor="background1"/>
            </w:tcBorders>
            <w:shd w:val="clear" w:color="auto" w:fill="FFFFFF" w:themeFill="background1"/>
            <w:tcMar>
              <w:top w:w="22" w:type="dxa"/>
              <w:left w:w="81" w:type="dxa"/>
              <w:bottom w:w="22" w:type="dxa"/>
              <w:right w:w="81" w:type="dxa"/>
            </w:tcMar>
            <w:hideMark/>
          </w:tcPr>
          <w:p w14:paraId="7E0B6B64" w14:textId="77777777" w:rsidR="004F49ED" w:rsidRPr="00C46CCC" w:rsidRDefault="004F49ED" w:rsidP="007B3FBA">
            <w:pPr>
              <w:spacing w:after="0" w:line="240" w:lineRule="auto"/>
              <w:ind w:left="18"/>
              <w:jc w:val="center"/>
              <w:rPr>
                <w:color w:val="000000"/>
                <w:sz w:val="20"/>
                <w:szCs w:val="20"/>
              </w:rPr>
            </w:pPr>
            <w:r w:rsidRPr="00C46CCC">
              <w:rPr>
                <w:color w:val="000000"/>
                <w:sz w:val="20"/>
                <w:szCs w:val="20"/>
              </w:rPr>
              <w:t>1</w:t>
            </w:r>
          </w:p>
        </w:tc>
        <w:tc>
          <w:tcPr>
            <w:tcW w:w="1258" w:type="dxa"/>
            <w:tcBorders>
              <w:top w:val="nil"/>
              <w:left w:val="single" w:sz="12" w:space="0" w:color="FFFFFF" w:themeColor="background1"/>
              <w:bottom w:val="nil"/>
              <w:right w:val="single" w:sz="4" w:space="0" w:color="auto"/>
            </w:tcBorders>
            <w:shd w:val="clear" w:color="auto" w:fill="FFFFFF" w:themeFill="background1"/>
            <w:tcMar>
              <w:top w:w="22" w:type="dxa"/>
              <w:left w:w="81" w:type="dxa"/>
              <w:bottom w:w="22" w:type="dxa"/>
              <w:right w:w="81" w:type="dxa"/>
            </w:tcMar>
            <w:hideMark/>
          </w:tcPr>
          <w:p w14:paraId="1723CF9F" w14:textId="77777777" w:rsidR="004F49ED" w:rsidRPr="00C46CCC" w:rsidRDefault="004F49ED" w:rsidP="007B3FBA">
            <w:pPr>
              <w:spacing w:after="0" w:line="240" w:lineRule="auto"/>
              <w:jc w:val="center"/>
              <w:rPr>
                <w:color w:val="000000"/>
                <w:sz w:val="20"/>
                <w:szCs w:val="20"/>
              </w:rPr>
            </w:pPr>
            <w:r w:rsidRPr="00C46CCC">
              <w:rPr>
                <w:b/>
                <w:color w:val="000000"/>
                <w:sz w:val="20"/>
                <w:szCs w:val="20"/>
              </w:rPr>
              <w:t>1</w:t>
            </w:r>
          </w:p>
        </w:tc>
        <w:tc>
          <w:tcPr>
            <w:tcW w:w="1440" w:type="dxa"/>
            <w:tcBorders>
              <w:top w:val="nil"/>
              <w:left w:val="single" w:sz="12" w:space="0" w:color="FFFFFF" w:themeColor="background1"/>
              <w:bottom w:val="nil"/>
              <w:right w:val="single" w:sz="4" w:space="0" w:color="auto"/>
            </w:tcBorders>
            <w:shd w:val="clear" w:color="auto" w:fill="FFFFFF" w:themeFill="background1"/>
          </w:tcPr>
          <w:p w14:paraId="53E0B6A4" w14:textId="77777777" w:rsidR="004F49ED" w:rsidRPr="00C46CCC" w:rsidRDefault="004F49ED" w:rsidP="007B3FBA">
            <w:pPr>
              <w:spacing w:after="0" w:line="240" w:lineRule="auto"/>
              <w:jc w:val="center"/>
              <w:rPr>
                <w:b/>
                <w:color w:val="000000"/>
                <w:sz w:val="20"/>
                <w:szCs w:val="20"/>
              </w:rPr>
            </w:pPr>
            <w:r w:rsidRPr="00C46CCC">
              <w:rPr>
                <w:b/>
                <w:color w:val="000000"/>
                <w:sz w:val="20"/>
                <w:szCs w:val="20"/>
              </w:rPr>
              <w:t>1</w:t>
            </w:r>
          </w:p>
        </w:tc>
      </w:tr>
      <w:tr w:rsidR="004F49ED" w:rsidRPr="00C46CCC" w14:paraId="6C08B29E" w14:textId="77777777" w:rsidTr="007B3FBA">
        <w:trPr>
          <w:trHeight w:hRule="exact" w:val="288"/>
        </w:trPr>
        <w:tc>
          <w:tcPr>
            <w:tcW w:w="1614" w:type="dxa"/>
            <w:tcBorders>
              <w:top w:val="nil"/>
              <w:left w:val="single" w:sz="4" w:space="0" w:color="auto"/>
              <w:bottom w:val="nil"/>
              <w:right w:val="single" w:sz="12" w:space="0" w:color="FFFFFF" w:themeColor="background1"/>
            </w:tcBorders>
            <w:shd w:val="clear" w:color="auto" w:fill="E9E9E9"/>
            <w:tcMar>
              <w:top w:w="22" w:type="dxa"/>
              <w:left w:w="81" w:type="dxa"/>
              <w:bottom w:w="22" w:type="dxa"/>
              <w:right w:w="81" w:type="dxa"/>
            </w:tcMar>
            <w:hideMark/>
          </w:tcPr>
          <w:p w14:paraId="1214F505" w14:textId="77777777" w:rsidR="004F49ED" w:rsidRPr="00C46CCC" w:rsidRDefault="004F49ED" w:rsidP="007B3FBA">
            <w:pPr>
              <w:spacing w:after="0" w:line="240" w:lineRule="auto"/>
              <w:rPr>
                <w:color w:val="000000"/>
                <w:sz w:val="20"/>
                <w:szCs w:val="20"/>
              </w:rPr>
            </w:pPr>
            <w:r w:rsidRPr="00C46CCC">
              <w:rPr>
                <w:b/>
                <w:color w:val="000000"/>
                <w:sz w:val="20"/>
                <w:szCs w:val="20"/>
              </w:rPr>
              <w:t>Wansley</w:t>
            </w:r>
          </w:p>
        </w:tc>
        <w:tc>
          <w:tcPr>
            <w:tcW w:w="1437"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hideMark/>
          </w:tcPr>
          <w:p w14:paraId="49087D22" w14:textId="62CDDFDB" w:rsidR="004F49ED" w:rsidRPr="00C46CCC" w:rsidRDefault="004F49ED" w:rsidP="007B3FBA">
            <w:pPr>
              <w:spacing w:after="0" w:line="240" w:lineRule="auto"/>
              <w:jc w:val="center"/>
              <w:rPr>
                <w:color w:val="000000"/>
                <w:sz w:val="20"/>
                <w:szCs w:val="20"/>
              </w:rPr>
            </w:pPr>
            <w:r>
              <w:rPr>
                <w:color w:val="000000"/>
                <w:sz w:val="20"/>
                <w:szCs w:val="20"/>
              </w:rPr>
              <w:t>1</w:t>
            </w:r>
          </w:p>
        </w:tc>
        <w:tc>
          <w:tcPr>
            <w:tcW w:w="1622" w:type="dxa"/>
            <w:tcBorders>
              <w:top w:val="nil"/>
              <w:left w:val="single" w:sz="12" w:space="0" w:color="FFFFFF" w:themeColor="background1"/>
              <w:bottom w:val="nil"/>
              <w:right w:val="single" w:sz="12" w:space="0" w:color="FFFFFF" w:themeColor="background1"/>
            </w:tcBorders>
            <w:shd w:val="clear" w:color="auto" w:fill="E9E9E9"/>
            <w:tcMar>
              <w:top w:w="22" w:type="dxa"/>
              <w:left w:w="81" w:type="dxa"/>
              <w:bottom w:w="22" w:type="dxa"/>
              <w:right w:w="81" w:type="dxa"/>
            </w:tcMar>
            <w:hideMark/>
          </w:tcPr>
          <w:p w14:paraId="65B563A8" w14:textId="77777777" w:rsidR="004F49ED" w:rsidRPr="00C46CCC" w:rsidRDefault="004F49ED" w:rsidP="007B3FBA">
            <w:pPr>
              <w:spacing w:after="0" w:line="240" w:lineRule="auto"/>
              <w:ind w:left="18"/>
              <w:jc w:val="center"/>
              <w:rPr>
                <w:color w:val="000000"/>
                <w:sz w:val="20"/>
                <w:szCs w:val="20"/>
              </w:rPr>
            </w:pPr>
          </w:p>
        </w:tc>
        <w:tc>
          <w:tcPr>
            <w:tcW w:w="1258" w:type="dxa"/>
            <w:tcBorders>
              <w:top w:val="nil"/>
              <w:left w:val="single" w:sz="12" w:space="0" w:color="FFFFFF" w:themeColor="background1"/>
              <w:bottom w:val="nil"/>
              <w:right w:val="single" w:sz="4" w:space="0" w:color="auto"/>
            </w:tcBorders>
            <w:shd w:val="clear" w:color="auto" w:fill="E9E9E9"/>
            <w:tcMar>
              <w:top w:w="22" w:type="dxa"/>
              <w:left w:w="81" w:type="dxa"/>
              <w:bottom w:w="22" w:type="dxa"/>
              <w:right w:w="81" w:type="dxa"/>
            </w:tcMar>
            <w:hideMark/>
          </w:tcPr>
          <w:p w14:paraId="7ABD09DB"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1</w:t>
            </w:r>
          </w:p>
        </w:tc>
        <w:tc>
          <w:tcPr>
            <w:tcW w:w="1440" w:type="dxa"/>
            <w:tcBorders>
              <w:top w:val="nil"/>
              <w:left w:val="single" w:sz="12" w:space="0" w:color="FFFFFF" w:themeColor="background1"/>
              <w:bottom w:val="nil"/>
              <w:right w:val="single" w:sz="4" w:space="0" w:color="auto"/>
            </w:tcBorders>
            <w:shd w:val="clear" w:color="auto" w:fill="E9E9E9"/>
          </w:tcPr>
          <w:p w14:paraId="413010FE" w14:textId="77777777" w:rsidR="004F49ED" w:rsidRPr="00C46CCC" w:rsidRDefault="004F49ED" w:rsidP="007B3FBA">
            <w:pPr>
              <w:spacing w:after="0" w:line="240" w:lineRule="auto"/>
              <w:ind w:left="18"/>
              <w:jc w:val="center"/>
              <w:rPr>
                <w:b/>
                <w:color w:val="000000"/>
                <w:sz w:val="20"/>
                <w:szCs w:val="20"/>
              </w:rPr>
            </w:pPr>
            <w:r w:rsidRPr="00C46CCC">
              <w:rPr>
                <w:b/>
                <w:color w:val="000000"/>
                <w:sz w:val="20"/>
                <w:szCs w:val="20"/>
              </w:rPr>
              <w:t>1</w:t>
            </w:r>
          </w:p>
        </w:tc>
      </w:tr>
      <w:tr w:rsidR="004F49ED" w:rsidRPr="00C46CCC" w14:paraId="72A93826" w14:textId="77777777" w:rsidTr="007B3FBA">
        <w:trPr>
          <w:trHeight w:hRule="exact" w:val="288"/>
        </w:trPr>
        <w:tc>
          <w:tcPr>
            <w:tcW w:w="1614" w:type="dxa"/>
            <w:tcBorders>
              <w:top w:val="nil"/>
              <w:left w:val="single" w:sz="4" w:space="0" w:color="auto"/>
              <w:bottom w:val="single" w:sz="18" w:space="0" w:color="707070"/>
              <w:right w:val="single" w:sz="12" w:space="0" w:color="FFFFFF" w:themeColor="background1"/>
            </w:tcBorders>
            <w:shd w:val="clear" w:color="auto" w:fill="FFFFFF" w:themeFill="background1"/>
            <w:tcMar>
              <w:top w:w="22" w:type="dxa"/>
              <w:left w:w="81" w:type="dxa"/>
              <w:bottom w:w="22" w:type="dxa"/>
              <w:right w:w="81" w:type="dxa"/>
            </w:tcMar>
            <w:hideMark/>
          </w:tcPr>
          <w:p w14:paraId="24B94924" w14:textId="77777777" w:rsidR="004F49ED" w:rsidRPr="00C46CCC" w:rsidRDefault="004F49ED" w:rsidP="007B3FBA">
            <w:pPr>
              <w:spacing w:after="0" w:line="240" w:lineRule="auto"/>
              <w:rPr>
                <w:color w:val="000000"/>
                <w:sz w:val="20"/>
                <w:szCs w:val="20"/>
              </w:rPr>
            </w:pPr>
            <w:r w:rsidRPr="00C46CCC">
              <w:rPr>
                <w:b/>
                <w:color w:val="000000"/>
                <w:sz w:val="20"/>
                <w:szCs w:val="20"/>
              </w:rPr>
              <w:t>Yates</w:t>
            </w:r>
          </w:p>
        </w:tc>
        <w:tc>
          <w:tcPr>
            <w:tcW w:w="1437" w:type="dxa"/>
            <w:tcBorders>
              <w:top w:val="nil"/>
              <w:left w:val="single" w:sz="12" w:space="0" w:color="FFFFFF" w:themeColor="background1"/>
              <w:bottom w:val="single" w:sz="18" w:space="0" w:color="707070"/>
              <w:right w:val="single" w:sz="12" w:space="0" w:color="FFFFFF" w:themeColor="background1"/>
            </w:tcBorders>
            <w:shd w:val="clear" w:color="auto" w:fill="FFFFFF" w:themeFill="background1"/>
            <w:tcMar>
              <w:top w:w="22" w:type="dxa"/>
              <w:left w:w="81" w:type="dxa"/>
              <w:bottom w:w="22" w:type="dxa"/>
              <w:right w:w="81" w:type="dxa"/>
            </w:tcMar>
            <w:hideMark/>
          </w:tcPr>
          <w:p w14:paraId="7337B9B9" w14:textId="77777777" w:rsidR="004F49ED" w:rsidRPr="00C46CCC" w:rsidRDefault="004F49ED" w:rsidP="007B3FBA">
            <w:pPr>
              <w:spacing w:after="0" w:line="240" w:lineRule="auto"/>
              <w:ind w:left="86"/>
              <w:jc w:val="center"/>
              <w:rPr>
                <w:color w:val="000000"/>
                <w:sz w:val="20"/>
                <w:szCs w:val="20"/>
              </w:rPr>
            </w:pPr>
            <w:r>
              <w:rPr>
                <w:color w:val="000000"/>
                <w:sz w:val="20"/>
                <w:szCs w:val="20"/>
              </w:rPr>
              <w:t>4</w:t>
            </w:r>
          </w:p>
        </w:tc>
        <w:tc>
          <w:tcPr>
            <w:tcW w:w="1622" w:type="dxa"/>
            <w:tcBorders>
              <w:top w:val="nil"/>
              <w:left w:val="single" w:sz="12" w:space="0" w:color="FFFFFF" w:themeColor="background1"/>
              <w:bottom w:val="single" w:sz="18" w:space="0" w:color="707070"/>
              <w:right w:val="single" w:sz="12" w:space="0" w:color="FFFFFF" w:themeColor="background1"/>
            </w:tcBorders>
            <w:shd w:val="clear" w:color="auto" w:fill="FFFFFF" w:themeFill="background1"/>
            <w:tcMar>
              <w:top w:w="22" w:type="dxa"/>
              <w:left w:w="81" w:type="dxa"/>
              <w:bottom w:w="22" w:type="dxa"/>
              <w:right w:w="81" w:type="dxa"/>
            </w:tcMar>
            <w:hideMark/>
          </w:tcPr>
          <w:p w14:paraId="3BDCF1A2" w14:textId="67FCE43B" w:rsidR="004F49ED" w:rsidRPr="00C46CCC" w:rsidRDefault="007266DD" w:rsidP="007266DD">
            <w:pPr>
              <w:tabs>
                <w:tab w:val="center" w:pos="739"/>
              </w:tabs>
              <w:spacing w:after="0" w:line="240" w:lineRule="auto"/>
              <w:ind w:left="18"/>
              <w:rPr>
                <w:color w:val="000000"/>
                <w:sz w:val="20"/>
                <w:szCs w:val="20"/>
              </w:rPr>
            </w:pPr>
            <w:r>
              <w:rPr>
                <w:color w:val="000000"/>
                <w:sz w:val="20"/>
                <w:szCs w:val="20"/>
              </w:rPr>
              <w:tab/>
            </w:r>
            <w:r w:rsidR="004F49ED">
              <w:rPr>
                <w:color w:val="000000"/>
                <w:sz w:val="20"/>
                <w:szCs w:val="20"/>
              </w:rPr>
              <w:t>3</w:t>
            </w:r>
          </w:p>
        </w:tc>
        <w:tc>
          <w:tcPr>
            <w:tcW w:w="1258" w:type="dxa"/>
            <w:tcBorders>
              <w:top w:val="nil"/>
              <w:left w:val="single" w:sz="12" w:space="0" w:color="FFFFFF" w:themeColor="background1"/>
              <w:bottom w:val="single" w:sz="18" w:space="0" w:color="707070"/>
              <w:right w:val="single" w:sz="4" w:space="0" w:color="auto"/>
            </w:tcBorders>
            <w:shd w:val="clear" w:color="auto" w:fill="FFFFFF" w:themeFill="background1"/>
            <w:tcMar>
              <w:top w:w="22" w:type="dxa"/>
              <w:left w:w="81" w:type="dxa"/>
              <w:bottom w:w="22" w:type="dxa"/>
              <w:right w:w="81" w:type="dxa"/>
            </w:tcMar>
            <w:hideMark/>
          </w:tcPr>
          <w:p w14:paraId="262E9E68"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7</w:t>
            </w:r>
          </w:p>
        </w:tc>
        <w:tc>
          <w:tcPr>
            <w:tcW w:w="1440" w:type="dxa"/>
            <w:tcBorders>
              <w:top w:val="nil"/>
              <w:left w:val="single" w:sz="12" w:space="0" w:color="FFFFFF" w:themeColor="background1"/>
              <w:bottom w:val="single" w:sz="18" w:space="0" w:color="707070"/>
              <w:right w:val="single" w:sz="4" w:space="0" w:color="auto"/>
            </w:tcBorders>
            <w:shd w:val="clear" w:color="auto" w:fill="FFFFFF" w:themeFill="background1"/>
          </w:tcPr>
          <w:p w14:paraId="657FCB5A" w14:textId="77777777" w:rsidR="004F49ED" w:rsidRPr="00C46CCC" w:rsidRDefault="004F49ED" w:rsidP="007B3FBA">
            <w:pPr>
              <w:spacing w:after="0" w:line="240" w:lineRule="auto"/>
              <w:ind w:left="18"/>
              <w:jc w:val="center"/>
              <w:rPr>
                <w:b/>
                <w:color w:val="000000"/>
                <w:sz w:val="20"/>
                <w:szCs w:val="20"/>
              </w:rPr>
            </w:pPr>
            <w:r w:rsidRPr="00C46CCC">
              <w:rPr>
                <w:b/>
                <w:color w:val="000000"/>
                <w:sz w:val="20"/>
                <w:szCs w:val="20"/>
              </w:rPr>
              <w:t>2</w:t>
            </w:r>
          </w:p>
        </w:tc>
      </w:tr>
      <w:tr w:rsidR="004F49ED" w:rsidRPr="00C46CCC" w14:paraId="18020DC5" w14:textId="77777777" w:rsidTr="007B3FBA">
        <w:trPr>
          <w:trHeight w:hRule="exact" w:val="288"/>
        </w:trPr>
        <w:tc>
          <w:tcPr>
            <w:tcW w:w="1614" w:type="dxa"/>
            <w:tcBorders>
              <w:top w:val="single" w:sz="18" w:space="0" w:color="707070"/>
              <w:left w:val="single" w:sz="4" w:space="0" w:color="auto"/>
              <w:bottom w:val="single" w:sz="18" w:space="0" w:color="707070"/>
              <w:right w:val="single" w:sz="12" w:space="0" w:color="FFFFFF" w:themeColor="background1"/>
            </w:tcBorders>
            <w:shd w:val="clear" w:color="auto" w:fill="E9E9E9"/>
            <w:tcMar>
              <w:top w:w="22" w:type="dxa"/>
              <w:left w:w="81" w:type="dxa"/>
              <w:bottom w:w="22" w:type="dxa"/>
              <w:right w:w="81" w:type="dxa"/>
            </w:tcMar>
            <w:hideMark/>
          </w:tcPr>
          <w:p w14:paraId="60DBFEB1" w14:textId="77777777" w:rsidR="004F49ED" w:rsidRPr="00C46CCC" w:rsidRDefault="004F49ED" w:rsidP="007B3FBA">
            <w:pPr>
              <w:spacing w:after="0" w:line="240" w:lineRule="auto"/>
              <w:ind w:left="360"/>
              <w:rPr>
                <w:color w:val="000000"/>
                <w:sz w:val="20"/>
                <w:szCs w:val="20"/>
              </w:rPr>
            </w:pPr>
          </w:p>
        </w:tc>
        <w:tc>
          <w:tcPr>
            <w:tcW w:w="1437" w:type="dxa"/>
            <w:tcBorders>
              <w:top w:val="single" w:sz="18" w:space="0" w:color="707070"/>
              <w:left w:val="single" w:sz="12" w:space="0" w:color="FFFFFF" w:themeColor="background1"/>
              <w:bottom w:val="single" w:sz="18" w:space="0" w:color="707070"/>
              <w:right w:val="single" w:sz="12" w:space="0" w:color="FFFFFF" w:themeColor="background1"/>
            </w:tcBorders>
            <w:shd w:val="clear" w:color="auto" w:fill="E9E9E9"/>
            <w:tcMar>
              <w:top w:w="43" w:type="dxa"/>
              <w:left w:w="81" w:type="dxa"/>
              <w:bottom w:w="22" w:type="dxa"/>
              <w:right w:w="81" w:type="dxa"/>
            </w:tcMar>
            <w:hideMark/>
          </w:tcPr>
          <w:p w14:paraId="72C6B3ED" w14:textId="77777777" w:rsidR="004F49ED" w:rsidRPr="00C46CCC" w:rsidRDefault="004F49ED" w:rsidP="007B3FBA">
            <w:pPr>
              <w:spacing w:after="0" w:line="240" w:lineRule="auto"/>
              <w:jc w:val="center"/>
              <w:rPr>
                <w:color w:val="000000"/>
                <w:sz w:val="20"/>
                <w:szCs w:val="20"/>
              </w:rPr>
            </w:pPr>
            <w:r>
              <w:rPr>
                <w:color w:val="000000"/>
                <w:sz w:val="20"/>
                <w:szCs w:val="20"/>
              </w:rPr>
              <w:t>20</w:t>
            </w:r>
          </w:p>
        </w:tc>
        <w:tc>
          <w:tcPr>
            <w:tcW w:w="1622" w:type="dxa"/>
            <w:tcBorders>
              <w:top w:val="single" w:sz="18" w:space="0" w:color="707070"/>
              <w:left w:val="single" w:sz="12" w:space="0" w:color="FFFFFF" w:themeColor="background1"/>
              <w:bottom w:val="single" w:sz="18" w:space="0" w:color="707070"/>
              <w:right w:val="single" w:sz="12" w:space="0" w:color="FFFFFF" w:themeColor="background1"/>
            </w:tcBorders>
            <w:shd w:val="clear" w:color="auto" w:fill="E9E9E9"/>
            <w:tcMar>
              <w:top w:w="43" w:type="dxa"/>
              <w:left w:w="81" w:type="dxa"/>
              <w:bottom w:w="22" w:type="dxa"/>
              <w:right w:w="81" w:type="dxa"/>
            </w:tcMar>
            <w:hideMark/>
          </w:tcPr>
          <w:p w14:paraId="4BF16CF4" w14:textId="77777777" w:rsidR="004F49ED" w:rsidRPr="00C46CCC" w:rsidRDefault="004F49ED" w:rsidP="007B3FBA">
            <w:pPr>
              <w:spacing w:after="0" w:line="240" w:lineRule="auto"/>
              <w:ind w:left="18"/>
              <w:jc w:val="center"/>
              <w:rPr>
                <w:color w:val="000000"/>
                <w:sz w:val="20"/>
                <w:szCs w:val="20"/>
              </w:rPr>
            </w:pPr>
            <w:r>
              <w:rPr>
                <w:color w:val="000000"/>
                <w:sz w:val="20"/>
                <w:szCs w:val="20"/>
              </w:rPr>
              <w:t>9</w:t>
            </w:r>
          </w:p>
        </w:tc>
        <w:tc>
          <w:tcPr>
            <w:tcW w:w="1258" w:type="dxa"/>
            <w:tcBorders>
              <w:top w:val="single" w:sz="18" w:space="0" w:color="707070"/>
              <w:left w:val="single" w:sz="12" w:space="0" w:color="FFFFFF" w:themeColor="background1"/>
              <w:bottom w:val="single" w:sz="18" w:space="0" w:color="707070"/>
              <w:right w:val="single" w:sz="4" w:space="0" w:color="auto"/>
            </w:tcBorders>
            <w:shd w:val="clear" w:color="auto" w:fill="E9E9E9"/>
            <w:tcMar>
              <w:top w:w="43" w:type="dxa"/>
              <w:left w:w="81" w:type="dxa"/>
              <w:bottom w:w="22" w:type="dxa"/>
              <w:right w:w="81" w:type="dxa"/>
            </w:tcMar>
            <w:hideMark/>
          </w:tcPr>
          <w:p w14:paraId="07EDAF2D" w14:textId="77777777" w:rsidR="004F49ED" w:rsidRPr="00C46CCC" w:rsidRDefault="004F49ED" w:rsidP="007B3FBA">
            <w:pPr>
              <w:spacing w:after="0" w:line="240" w:lineRule="auto"/>
              <w:ind w:left="18"/>
              <w:jc w:val="center"/>
              <w:rPr>
                <w:color w:val="000000"/>
                <w:sz w:val="20"/>
                <w:szCs w:val="20"/>
              </w:rPr>
            </w:pPr>
            <w:r w:rsidRPr="00C46CCC">
              <w:rPr>
                <w:b/>
                <w:color w:val="000000"/>
                <w:sz w:val="20"/>
                <w:szCs w:val="20"/>
              </w:rPr>
              <w:t>29</w:t>
            </w:r>
          </w:p>
        </w:tc>
        <w:tc>
          <w:tcPr>
            <w:tcW w:w="1440" w:type="dxa"/>
            <w:tcBorders>
              <w:top w:val="single" w:sz="18" w:space="0" w:color="707070"/>
              <w:left w:val="single" w:sz="12" w:space="0" w:color="FFFFFF" w:themeColor="background1"/>
              <w:bottom w:val="single" w:sz="18" w:space="0" w:color="707070"/>
              <w:right w:val="single" w:sz="4" w:space="0" w:color="auto"/>
            </w:tcBorders>
            <w:shd w:val="clear" w:color="auto" w:fill="E9E9E9"/>
          </w:tcPr>
          <w:p w14:paraId="4465FF5B" w14:textId="6F7ACA7A" w:rsidR="004F49ED" w:rsidRPr="00C46CCC" w:rsidRDefault="004F49ED" w:rsidP="007B3FBA">
            <w:pPr>
              <w:spacing w:after="0" w:line="240" w:lineRule="auto"/>
              <w:ind w:left="18"/>
              <w:jc w:val="center"/>
              <w:rPr>
                <w:b/>
                <w:color w:val="000000"/>
                <w:sz w:val="20"/>
                <w:szCs w:val="20"/>
              </w:rPr>
            </w:pPr>
            <w:r>
              <w:rPr>
                <w:b/>
                <w:color w:val="000000"/>
                <w:sz w:val="20"/>
                <w:szCs w:val="20"/>
              </w:rPr>
              <w:t>1</w:t>
            </w:r>
            <w:r w:rsidR="00AA0C45">
              <w:rPr>
                <w:b/>
                <w:color w:val="000000"/>
                <w:sz w:val="20"/>
                <w:szCs w:val="20"/>
              </w:rPr>
              <w:t>2</w:t>
            </w:r>
          </w:p>
        </w:tc>
      </w:tr>
    </w:tbl>
    <w:p w14:paraId="4CC05B7B" w14:textId="28BE02DD" w:rsidR="002E0878" w:rsidRPr="00D32D38" w:rsidRDefault="009053C7" w:rsidP="00516E6C">
      <w:pPr>
        <w:pStyle w:val="Heading3"/>
        <w:spacing w:before="240"/>
        <w:rPr>
          <w:b/>
          <w:bCs/>
        </w:rPr>
      </w:pPr>
      <w:bookmarkStart w:id="33" w:name="_Toc117253472"/>
      <w:bookmarkStart w:id="34" w:name="_Toc130201003"/>
      <w:bookmarkEnd w:id="30"/>
      <w:r w:rsidRPr="00D32D38">
        <w:rPr>
          <w:b/>
          <w:bCs/>
          <w:sz w:val="24"/>
          <w:szCs w:val="24"/>
        </w:rPr>
        <w:lastRenderedPageBreak/>
        <w:t>Federal CCR Rule Revisions (40 CFR 257 and 261)</w:t>
      </w:r>
      <w:bookmarkEnd w:id="33"/>
      <w:bookmarkEnd w:id="34"/>
    </w:p>
    <w:p w14:paraId="296852FF" w14:textId="203CE72B" w:rsidR="005842A8" w:rsidRPr="005842A8" w:rsidRDefault="00FB78BA" w:rsidP="00C942DB">
      <w:pPr>
        <w:spacing w:before="120" w:after="0" w:line="240" w:lineRule="auto"/>
      </w:pPr>
      <w:r w:rsidRPr="7A0C2078">
        <w:rPr>
          <w:rFonts w:cs="Arial"/>
        </w:rPr>
        <w:t>Ash ponds were designed, installed, and operated to function as a treatment system for power plant wastewaters</w:t>
      </w:r>
      <w:r w:rsidR="00A34B93">
        <w:rPr>
          <w:rFonts w:cs="Arial"/>
        </w:rPr>
        <w:t xml:space="preserve"> under the NPDES permit program</w:t>
      </w:r>
      <w:r w:rsidRPr="7A0C2078">
        <w:rPr>
          <w:rFonts w:cs="Arial"/>
        </w:rPr>
        <w:t>, and they effectively served in this capacity for decades</w:t>
      </w:r>
      <w:r w:rsidR="00A34B93">
        <w:rPr>
          <w:rFonts w:cs="Arial"/>
        </w:rPr>
        <w:t>.</w:t>
      </w:r>
      <w:r w:rsidRPr="7A0C2078">
        <w:rPr>
          <w:rFonts w:cs="Arial"/>
        </w:rPr>
        <w:t xml:space="preserve"> </w:t>
      </w:r>
      <w:r w:rsidR="000F7CDC">
        <w:rPr>
          <w:rFonts w:cs="Arial"/>
        </w:rPr>
        <w:t xml:space="preserve">Regulation of ash ponds </w:t>
      </w:r>
      <w:r w:rsidR="00D21ACC">
        <w:rPr>
          <w:rFonts w:cs="Arial"/>
        </w:rPr>
        <w:t xml:space="preserve">and CCR </w:t>
      </w:r>
      <w:r w:rsidR="000F7CDC">
        <w:rPr>
          <w:rFonts w:cs="Arial"/>
        </w:rPr>
        <w:t>change</w:t>
      </w:r>
      <w:r w:rsidR="00D21ACC">
        <w:rPr>
          <w:rFonts w:cs="Arial"/>
        </w:rPr>
        <w:t>d</w:t>
      </w:r>
      <w:r w:rsidR="000F7CDC">
        <w:rPr>
          <w:rFonts w:cs="Arial"/>
        </w:rPr>
        <w:t xml:space="preserve"> i</w:t>
      </w:r>
      <w:r w:rsidR="005842A8" w:rsidRPr="005842A8">
        <w:t xml:space="preserve">n April 2015, </w:t>
      </w:r>
      <w:r w:rsidR="000F7CDC">
        <w:t xml:space="preserve">when </w:t>
      </w:r>
      <w:r w:rsidR="005842A8" w:rsidRPr="005842A8">
        <w:t xml:space="preserve">EPA published the Coal Combustion Residuals Final Rule (“Federal CCR Rule”) that provided a comprehensive set of requirements for the disposal of CCR as </w:t>
      </w:r>
      <w:r w:rsidR="006D056C">
        <w:t xml:space="preserve">a </w:t>
      </w:r>
      <w:r w:rsidR="005842A8" w:rsidRPr="005842A8">
        <w:t>solid waste under RCRA.  Th</w:t>
      </w:r>
      <w:r w:rsidR="0009722C">
        <w:t>rough this rulemaking</w:t>
      </w:r>
      <w:r w:rsidR="002D07EC">
        <w:t xml:space="preserve"> and based on </w:t>
      </w:r>
      <w:r w:rsidR="00DE1697">
        <w:t xml:space="preserve">extensive </w:t>
      </w:r>
      <w:r w:rsidR="002D07EC" w:rsidRPr="005842A8">
        <w:t>stud</w:t>
      </w:r>
      <w:r w:rsidR="002D07EC">
        <w:t>ies</w:t>
      </w:r>
      <w:r w:rsidR="00F82F58">
        <w:t>,</w:t>
      </w:r>
      <w:r w:rsidR="0009722C">
        <w:t xml:space="preserve"> EPA </w:t>
      </w:r>
      <w:r w:rsidR="008D78E3">
        <w:t>con</w:t>
      </w:r>
      <w:r w:rsidR="00490D4F">
        <w:t xml:space="preserve">firmed </w:t>
      </w:r>
      <w:r w:rsidR="005842A8" w:rsidRPr="005842A8">
        <w:t xml:space="preserve">decades of previous Agency determinations that coal ash should be regulated as non-hazardous waste. </w:t>
      </w:r>
      <w:r w:rsidR="00E52A4F">
        <w:t>T</w:t>
      </w:r>
      <w:r w:rsidR="005842A8" w:rsidRPr="005842A8">
        <w:t xml:space="preserve">he Federal CCR Rule was issued as a “self-implementing” rule that set national minimum standards for management of </w:t>
      </w:r>
      <w:r w:rsidR="0050667D">
        <w:t>coal ash and gypsum</w:t>
      </w:r>
      <w:r w:rsidR="005842A8" w:rsidRPr="005842A8">
        <w:t xml:space="preserve">.  </w:t>
      </w:r>
    </w:p>
    <w:p w14:paraId="74828676" w14:textId="7591F2A6" w:rsidR="005842A8" w:rsidRPr="006F153E" w:rsidRDefault="005842A8" w:rsidP="00C942DB">
      <w:pPr>
        <w:spacing w:before="120" w:after="0" w:line="240" w:lineRule="auto"/>
      </w:pPr>
      <w:r w:rsidRPr="005842A8">
        <w:t xml:space="preserve">The </w:t>
      </w:r>
      <w:r w:rsidR="00BE6155">
        <w:t xml:space="preserve">2015 </w:t>
      </w:r>
      <w:r w:rsidRPr="005842A8">
        <w:t>Federal CCR Rule set standards for certain CCR units and provided exemptions for others.  Those units subject to the Federal CCR Rule include</w:t>
      </w:r>
      <w:r w:rsidR="00443529">
        <w:t xml:space="preserve"> the following</w:t>
      </w:r>
      <w:r w:rsidR="0024304D">
        <w:t>:</w:t>
      </w:r>
      <w:r w:rsidR="006E6F2D">
        <w:t xml:space="preserve"> </w:t>
      </w:r>
      <w:r w:rsidR="007B6F92" w:rsidRPr="006E6F2D">
        <w:rPr>
          <w:rFonts w:cstheme="minorHAnsi"/>
          <w:szCs w:val="20"/>
        </w:rPr>
        <w:t xml:space="preserve">new and existing CCR landfills and surface impoundments (ash ponds), including any </w:t>
      </w:r>
      <w:r w:rsidR="007B6F92" w:rsidRPr="006E6F2D">
        <w:rPr>
          <w:rFonts w:cstheme="minorHAnsi"/>
        </w:rPr>
        <w:t>lateral expansions of such units</w:t>
      </w:r>
      <w:r w:rsidR="00DB2172">
        <w:rPr>
          <w:rFonts w:cstheme="minorHAnsi"/>
        </w:rPr>
        <w:t>,</w:t>
      </w:r>
      <w:r w:rsidR="007B6F92" w:rsidRPr="006E6F2D">
        <w:rPr>
          <w:rFonts w:cstheme="minorHAnsi"/>
        </w:rPr>
        <w:t xml:space="preserve"> and inactive surface impoundments located at active electric generating facilities.</w:t>
      </w:r>
      <w:r w:rsidR="006F153E">
        <w:t xml:space="preserve"> </w:t>
      </w:r>
      <w:r w:rsidR="00F01F8A">
        <w:t xml:space="preserve">The </w:t>
      </w:r>
      <w:r w:rsidR="007B6F92">
        <w:t>Federal CCR Rule include</w:t>
      </w:r>
      <w:r w:rsidR="00741EF4">
        <w:t>d</w:t>
      </w:r>
      <w:r w:rsidR="00F01F8A">
        <w:t xml:space="preserve"> exemptions from all or portions of the requirements for various units or activities, including</w:t>
      </w:r>
      <w:r w:rsidR="007B6F92" w:rsidRPr="00741EF4">
        <w:rPr>
          <w:rFonts w:cstheme="minorHAnsi"/>
          <w:szCs w:val="20"/>
        </w:rPr>
        <w:t xml:space="preserve"> CCR landfills that ceased receiving CCR prior to October 19, 2015</w:t>
      </w:r>
      <w:r w:rsidR="00E97D11">
        <w:rPr>
          <w:rFonts w:cstheme="minorHAnsi"/>
          <w:szCs w:val="20"/>
        </w:rPr>
        <w:t>;</w:t>
      </w:r>
      <w:r w:rsidR="00741EF4">
        <w:rPr>
          <w:rFonts w:cstheme="minorHAnsi"/>
          <w:szCs w:val="20"/>
        </w:rPr>
        <w:t xml:space="preserve"> </w:t>
      </w:r>
      <w:r w:rsidR="007B6F92" w:rsidRPr="003A1275">
        <w:rPr>
          <w:rFonts w:cstheme="minorHAnsi"/>
          <w:szCs w:val="20"/>
        </w:rPr>
        <w:t>practices that meet the definition of a beneficial use of CCR</w:t>
      </w:r>
      <w:r w:rsidR="00741EF4">
        <w:rPr>
          <w:rFonts w:cstheme="minorHAnsi"/>
          <w:szCs w:val="20"/>
        </w:rPr>
        <w:t>;</w:t>
      </w:r>
      <w:r w:rsidR="007B6F92" w:rsidRPr="003A1275">
        <w:rPr>
          <w:rFonts w:cstheme="minorHAnsi"/>
          <w:szCs w:val="20"/>
        </w:rPr>
        <w:t xml:space="preserve"> municipal solid waste landfills that receive CCR</w:t>
      </w:r>
      <w:r w:rsidR="004A47C7">
        <w:rPr>
          <w:rFonts w:cstheme="minorHAnsi"/>
          <w:szCs w:val="20"/>
        </w:rPr>
        <w:t>;</w:t>
      </w:r>
      <w:r w:rsidR="00F01F8A">
        <w:rPr>
          <w:rFonts w:cstheme="minorHAnsi"/>
          <w:szCs w:val="20"/>
        </w:rPr>
        <w:t xml:space="preserve"> </w:t>
      </w:r>
      <w:r w:rsidR="007B6F92" w:rsidRPr="00F01F8A">
        <w:rPr>
          <w:rFonts w:cstheme="minorHAnsi"/>
          <w:szCs w:val="20"/>
        </w:rPr>
        <w:t>inactive surface impoundments that closed within three years (the “three-year closure” exemption)</w:t>
      </w:r>
      <w:r w:rsidR="004A47C7">
        <w:rPr>
          <w:rFonts w:cstheme="minorHAnsi"/>
          <w:szCs w:val="20"/>
        </w:rPr>
        <w:t>;</w:t>
      </w:r>
      <w:r w:rsidR="00DD791A">
        <w:rPr>
          <w:rFonts w:cstheme="minorHAnsi"/>
          <w:szCs w:val="20"/>
        </w:rPr>
        <w:t xml:space="preserve"> a</w:t>
      </w:r>
      <w:r w:rsidR="00CA0B48">
        <w:rPr>
          <w:rFonts w:cstheme="minorHAnsi"/>
          <w:szCs w:val="20"/>
        </w:rPr>
        <w:t>n</w:t>
      </w:r>
      <w:r w:rsidR="00DD791A">
        <w:rPr>
          <w:rFonts w:cstheme="minorHAnsi"/>
          <w:szCs w:val="20"/>
        </w:rPr>
        <w:t xml:space="preserve">d </w:t>
      </w:r>
      <w:r w:rsidR="007B6F92" w:rsidRPr="00DD791A">
        <w:rPr>
          <w:rFonts w:cstheme="minorHAnsi"/>
          <w:szCs w:val="20"/>
        </w:rPr>
        <w:t>CCR units located at sites that ceased generating electricity, regardless of the fuel type, as of October 19, 2015.</w:t>
      </w:r>
    </w:p>
    <w:p w14:paraId="61348B95" w14:textId="20A679FC" w:rsidR="0020738C" w:rsidRDefault="0020738C" w:rsidP="00C942DB">
      <w:pPr>
        <w:spacing w:before="120" w:after="0" w:line="240" w:lineRule="auto"/>
      </w:pPr>
      <w:bookmarkStart w:id="35" w:name="_Hlk530495719"/>
      <w:r w:rsidRPr="53ADDA6E">
        <w:t xml:space="preserve">For regulated CCR units, </w:t>
      </w:r>
      <w:r>
        <w:t>the federal rules established a comprehensive set of compliance requirements related to location and siting criteria</w:t>
      </w:r>
      <w:r w:rsidR="00CD7186">
        <w:t>,</w:t>
      </w:r>
      <w:r>
        <w:t xml:space="preserve"> design and operating criteria</w:t>
      </w:r>
      <w:r w:rsidR="00CD7186">
        <w:t>,</w:t>
      </w:r>
      <w:r>
        <w:t xml:space="preserve"> groundwater monitoring and corrective action requirements</w:t>
      </w:r>
      <w:r w:rsidR="00CD7186">
        <w:t>,</w:t>
      </w:r>
      <w:r>
        <w:t xml:space="preserve"> structural integrity requirements</w:t>
      </w:r>
      <w:r w:rsidR="00CD7186">
        <w:t>,</w:t>
      </w:r>
      <w:r>
        <w:t xml:space="preserve"> closure and post-closure care requirements</w:t>
      </w:r>
      <w:r w:rsidR="00CD7186">
        <w:t>,</w:t>
      </w:r>
      <w:r>
        <w:t xml:space="preserve"> a range of reporting and recordkeeping requirements</w:t>
      </w:r>
      <w:r w:rsidR="005806A5">
        <w:t>,</w:t>
      </w:r>
      <w:r>
        <w:t xml:space="preserve"> and posting of information to the internet. Failure to demonstrate compliance with certain criteria by specified deadlines result</w:t>
      </w:r>
      <w:r w:rsidR="00CA044B">
        <w:t>s</w:t>
      </w:r>
      <w:r>
        <w:t xml:space="preserve"> in required closure of the CCR unit</w:t>
      </w:r>
      <w:r w:rsidR="0022509C">
        <w:t xml:space="preserve">, with </w:t>
      </w:r>
      <w:r w:rsidR="00B002A5">
        <w:t xml:space="preserve">specific requirements around closure </w:t>
      </w:r>
      <w:r w:rsidR="0022509C">
        <w:t>t</w:t>
      </w:r>
      <w:r>
        <w:t xml:space="preserve">imeframes and methods.  </w:t>
      </w:r>
      <w:r w:rsidRPr="00AE038A">
        <w:rPr>
          <w:szCs w:val="24"/>
        </w:rPr>
        <w:t xml:space="preserve">The </w:t>
      </w:r>
      <w:r w:rsidR="0018376E">
        <w:rPr>
          <w:szCs w:val="24"/>
        </w:rPr>
        <w:t>F</w:t>
      </w:r>
      <w:r w:rsidRPr="00AE038A">
        <w:rPr>
          <w:szCs w:val="24"/>
        </w:rPr>
        <w:t>ederal CCR Rule explicitly authorizes both closure in place and closure by removal as options, with each option subject to its own set of closure performance criteria.</w:t>
      </w:r>
      <w:r w:rsidRPr="00AE038A">
        <w:rPr>
          <w:sz w:val="17"/>
          <w:szCs w:val="17"/>
        </w:rPr>
        <w:t xml:space="preserve"> </w:t>
      </w:r>
      <w:r w:rsidRPr="53ADDA6E">
        <w:t>The rule allow</w:t>
      </w:r>
      <w:r w:rsidR="00546460">
        <w:t>s</w:t>
      </w:r>
      <w:r w:rsidRPr="53ADDA6E">
        <w:t xml:space="preserve"> for</w:t>
      </w:r>
      <w:r w:rsidR="006F179B">
        <w:t xml:space="preserve"> extensions for</w:t>
      </w:r>
      <w:r w:rsidRPr="53ADDA6E">
        <w:t xml:space="preserve"> surface impoundments to continue to receive CCR for a limited amount of time if </w:t>
      </w:r>
      <w:r w:rsidR="009F2BBD">
        <w:t xml:space="preserve">alternative </w:t>
      </w:r>
      <w:r>
        <w:t>options are</w:t>
      </w:r>
      <w:r w:rsidRPr="53ADDA6E">
        <w:t xml:space="preserve"> not </w:t>
      </w:r>
      <w:r>
        <w:t>available</w:t>
      </w:r>
      <w:r w:rsidRPr="53ADDA6E">
        <w:t xml:space="preserve"> without </w:t>
      </w:r>
      <w:r>
        <w:t xml:space="preserve">the existence of that </w:t>
      </w:r>
      <w:r w:rsidR="009F2BBD">
        <w:t xml:space="preserve">CCR </w:t>
      </w:r>
      <w:r>
        <w:t>unit</w:t>
      </w:r>
      <w:r w:rsidRPr="53ADDA6E">
        <w:t xml:space="preserve">. </w:t>
      </w:r>
      <w:bookmarkEnd w:id="35"/>
    </w:p>
    <w:p w14:paraId="3002CE65" w14:textId="3998969A" w:rsidR="002448AA" w:rsidRDefault="002448AA" w:rsidP="00C942DB">
      <w:pPr>
        <w:spacing w:before="120" w:after="0" w:line="240" w:lineRule="auto"/>
      </w:pPr>
      <w:r>
        <w:t>Since the original publication of the Federal CCR Rule, there have been several developments related to litigation, administration policy changes</w:t>
      </w:r>
      <w:r w:rsidR="006247C6">
        <w:t>,</w:t>
      </w:r>
      <w:r>
        <w:t xml:space="preserve"> or legislative actions that amend</w:t>
      </w:r>
      <w:r w:rsidR="006247C6">
        <w:t>ed</w:t>
      </w:r>
      <w:r>
        <w:t xml:space="preserve"> the </w:t>
      </w:r>
      <w:r w:rsidR="00B655F4">
        <w:t xml:space="preserve">requirements </w:t>
      </w:r>
      <w:r>
        <w:t>or change</w:t>
      </w:r>
      <w:r w:rsidR="00B655F4">
        <w:t>d</w:t>
      </w:r>
      <w:r>
        <w:t xml:space="preserve"> how the </w:t>
      </w:r>
      <w:r w:rsidR="00B655F4">
        <w:t xml:space="preserve">rule </w:t>
      </w:r>
      <w:r>
        <w:t>is enforced</w:t>
      </w:r>
      <w:r w:rsidR="00AC3E0E">
        <w:t>, as discussed below</w:t>
      </w:r>
      <w:r>
        <w:t xml:space="preserve">. </w:t>
      </w:r>
    </w:p>
    <w:p w14:paraId="4ECE590A" w14:textId="50C7B9B8" w:rsidR="00CC5242" w:rsidRPr="00D32D38" w:rsidRDefault="00CC5242" w:rsidP="00C942DB">
      <w:pPr>
        <w:autoSpaceDE w:val="0"/>
        <w:autoSpaceDN w:val="0"/>
        <w:adjustRightInd w:val="0"/>
        <w:spacing w:before="120" w:after="0" w:line="240" w:lineRule="auto"/>
        <w:rPr>
          <w:b/>
          <w:bCs/>
        </w:rPr>
      </w:pPr>
      <w:r w:rsidRPr="00D32D38">
        <w:rPr>
          <w:rFonts w:asciiTheme="majorHAnsi" w:eastAsiaTheme="majorEastAsia" w:hAnsiTheme="majorHAnsi" w:cstheme="majorBidi"/>
          <w:b/>
          <w:bCs/>
          <w:color w:val="2F5496" w:themeColor="accent1" w:themeShade="BF"/>
          <w:sz w:val="24"/>
          <w:szCs w:val="24"/>
        </w:rPr>
        <w:t>Federal CCR Rule Revisions: 2015 Litigation and 2016 Settlement Agreement</w:t>
      </w:r>
    </w:p>
    <w:p w14:paraId="16398A3F" w14:textId="27C89C50" w:rsidR="002448AA" w:rsidRPr="006D14DF" w:rsidRDefault="002448AA" w:rsidP="00C942DB">
      <w:pPr>
        <w:spacing w:before="120" w:after="0" w:line="240" w:lineRule="auto"/>
        <w:rPr>
          <w:rFonts w:eastAsia="Calibri" w:cstheme="minorHAnsi"/>
          <w:color w:val="000000" w:themeColor="text1"/>
        </w:rPr>
      </w:pPr>
      <w:r w:rsidRPr="00DB7156">
        <w:t xml:space="preserve">In </w:t>
      </w:r>
      <w:r>
        <w:t>December</w:t>
      </w:r>
      <w:r w:rsidRPr="00DB7156">
        <w:t xml:space="preserve"> 2015, several parties, including industry and environmental groups filed legal challenges to </w:t>
      </w:r>
      <w:r>
        <w:t>the Federal CCR Rule</w:t>
      </w:r>
      <w:r w:rsidR="00911FBB">
        <w:t>.</w:t>
      </w:r>
      <w:r>
        <w:t xml:space="preserve"> </w:t>
      </w:r>
      <w:r w:rsidR="00911FBB">
        <w:t>I</w:t>
      </w:r>
      <w:r w:rsidRPr="00DB7156">
        <w:t>n June 2016, the D.C. Circuit Court approved a settlement addressing several</w:t>
      </w:r>
      <w:r w:rsidRPr="7C536393">
        <w:t>, but not all,</w:t>
      </w:r>
      <w:r w:rsidRPr="00DB7156">
        <w:t xml:space="preserve"> issues that were raised in the CCR litigation. </w:t>
      </w:r>
      <w:r>
        <w:t>As</w:t>
      </w:r>
      <w:r w:rsidRPr="00DB7156">
        <w:t xml:space="preserve"> part of the settlement, the court vacated the three-year closure exemption for inactive surface impoundments</w:t>
      </w:r>
      <w:r w:rsidR="009C3A9C">
        <w:rPr>
          <w:rFonts w:eastAsia="Calibri"/>
          <w:color w:val="000000" w:themeColor="text1"/>
        </w:rPr>
        <w:t xml:space="preserve">, and </w:t>
      </w:r>
      <w:r w:rsidR="009C3A9C" w:rsidRPr="664ED54E">
        <w:rPr>
          <w:rFonts w:eastAsia="Calibri"/>
          <w:color w:val="000000" w:themeColor="text1"/>
        </w:rPr>
        <w:t>EPA</w:t>
      </w:r>
      <w:r w:rsidR="009C3A9C" w:rsidRPr="002448AA">
        <w:rPr>
          <w:rFonts w:eastAsia="Calibri" w:cstheme="minorHAnsi"/>
          <w:color w:val="000000" w:themeColor="text1"/>
        </w:rPr>
        <w:t xml:space="preserve"> agreed to finalize rulemaking to address </w:t>
      </w:r>
      <w:proofErr w:type="gramStart"/>
      <w:r w:rsidR="009C3A9C">
        <w:rPr>
          <w:rFonts w:eastAsia="Calibri" w:cstheme="minorHAnsi"/>
          <w:color w:val="000000" w:themeColor="text1"/>
        </w:rPr>
        <w:t>a number of</w:t>
      </w:r>
      <w:proofErr w:type="gramEnd"/>
      <w:r w:rsidR="009C3A9C">
        <w:rPr>
          <w:rFonts w:eastAsia="Calibri" w:cstheme="minorHAnsi"/>
          <w:color w:val="000000" w:themeColor="text1"/>
        </w:rPr>
        <w:t xml:space="preserve"> technical issues</w:t>
      </w:r>
      <w:r>
        <w:t xml:space="preserve">. </w:t>
      </w:r>
      <w:r w:rsidR="006D14DF">
        <w:rPr>
          <w:rFonts w:eastAsia="Calibri" w:cstheme="minorHAnsi"/>
          <w:color w:val="000000" w:themeColor="text1"/>
        </w:rPr>
        <w:t>For the three-year closure</w:t>
      </w:r>
      <w:r w:rsidR="00591BD3">
        <w:rPr>
          <w:rFonts w:eastAsia="Calibri" w:cstheme="minorHAnsi"/>
          <w:color w:val="000000" w:themeColor="text1"/>
        </w:rPr>
        <w:t xml:space="preserve"> exemption, i</w:t>
      </w:r>
      <w:r w:rsidRPr="53ADDA6E">
        <w:t xml:space="preserve">n August 2016, EPA </w:t>
      </w:r>
      <w:r w:rsidR="00591BD3">
        <w:t>finalized a</w:t>
      </w:r>
      <w:r w:rsidR="00112F42">
        <w:t xml:space="preserve"> roughly 1.5</w:t>
      </w:r>
      <w:r w:rsidR="00DE2A48">
        <w:t>-</w:t>
      </w:r>
      <w:r w:rsidR="00112F42">
        <w:t xml:space="preserve">year </w:t>
      </w:r>
      <w:r w:rsidR="00591BD3">
        <w:t xml:space="preserve">extension of </w:t>
      </w:r>
      <w:r w:rsidRPr="53ADDA6E">
        <w:t xml:space="preserve">certain compliance dates for ash ponds that intended </w:t>
      </w:r>
      <w:r w:rsidR="0036121A">
        <w:t xml:space="preserve">under the 2015 Federal CCR Rule </w:t>
      </w:r>
      <w:r w:rsidRPr="53ADDA6E">
        <w:t xml:space="preserve">to close within </w:t>
      </w:r>
      <w:r w:rsidR="001A00D9">
        <w:t>three</w:t>
      </w:r>
      <w:r w:rsidRPr="53ADDA6E">
        <w:t xml:space="preserve"> years. </w:t>
      </w:r>
    </w:p>
    <w:p w14:paraId="2DD65216" w14:textId="646EA28A" w:rsidR="00AC3E0E" w:rsidRPr="00D32D38" w:rsidRDefault="00AC3E0E" w:rsidP="00C942DB">
      <w:pPr>
        <w:autoSpaceDE w:val="0"/>
        <w:autoSpaceDN w:val="0"/>
        <w:adjustRightInd w:val="0"/>
        <w:spacing w:before="120" w:after="0" w:line="240" w:lineRule="auto"/>
        <w:rPr>
          <w:b/>
          <w:bCs/>
        </w:rPr>
      </w:pPr>
      <w:r w:rsidRPr="00D32D38">
        <w:rPr>
          <w:rFonts w:asciiTheme="majorHAnsi" w:eastAsiaTheme="majorEastAsia" w:hAnsiTheme="majorHAnsi" w:cstheme="majorBidi"/>
          <w:b/>
          <w:bCs/>
          <w:color w:val="2F5496" w:themeColor="accent1" w:themeShade="BF"/>
          <w:sz w:val="24"/>
          <w:szCs w:val="24"/>
        </w:rPr>
        <w:t>Federal CCR Rule Revisions: 2017 Petition for Reconsideration</w:t>
      </w:r>
      <w:r w:rsidR="005A42C5" w:rsidRPr="00D32D38">
        <w:rPr>
          <w:rFonts w:asciiTheme="majorHAnsi" w:eastAsiaTheme="majorEastAsia" w:hAnsiTheme="majorHAnsi" w:cstheme="majorBidi"/>
          <w:b/>
          <w:bCs/>
          <w:color w:val="2F5496" w:themeColor="accent1" w:themeShade="BF"/>
          <w:sz w:val="24"/>
          <w:szCs w:val="24"/>
        </w:rPr>
        <w:t>, Phase One and Two Amendments</w:t>
      </w:r>
    </w:p>
    <w:p w14:paraId="35E37E30" w14:textId="126B68B5" w:rsidR="00516DEC" w:rsidRDefault="00C8727F" w:rsidP="00C942DB">
      <w:pPr>
        <w:spacing w:before="120" w:after="0" w:line="240" w:lineRule="auto"/>
      </w:pPr>
      <w:r>
        <w:t xml:space="preserve">In September 2017, EPA granted </w:t>
      </w:r>
      <w:r w:rsidR="00A64FAB">
        <w:t>a Petition for Reconsideration of the Federal CCR Rule filed by the Utility Solid Waste Activities Group (“USWAG”)</w:t>
      </w:r>
      <w:r w:rsidR="00483B13">
        <w:t>, an industry group of which Georgia Power is a member</w:t>
      </w:r>
      <w:r>
        <w:t xml:space="preserve">. </w:t>
      </w:r>
      <w:r w:rsidR="00460C0E">
        <w:t xml:space="preserve">In November 2017, EPA outlined a phased approach to amending the Federal CCR Rule, </w:t>
      </w:r>
      <w:r w:rsidR="00253D42">
        <w:t xml:space="preserve">with intent to cover </w:t>
      </w:r>
      <w:r w:rsidR="00253D42">
        <w:lastRenderedPageBreak/>
        <w:t xml:space="preserve">numerous technical requirements </w:t>
      </w:r>
      <w:r w:rsidR="005028DB">
        <w:t>with a Phase One and Phase Two rulemaking schedule</w:t>
      </w:r>
      <w:r w:rsidR="009402E6">
        <w:t>,</w:t>
      </w:r>
      <w:r w:rsidR="00253D42">
        <w:t xml:space="preserve"> </w:t>
      </w:r>
      <w:r w:rsidR="00460C0E">
        <w:t xml:space="preserve">and subsequently issued both Phase One and Phase Two proposed rulemakings. </w:t>
      </w:r>
    </w:p>
    <w:p w14:paraId="69573589" w14:textId="376EBB69" w:rsidR="00460C0E" w:rsidRDefault="0001221E" w:rsidP="00C942DB">
      <w:pPr>
        <w:spacing w:before="120" w:after="0" w:line="240" w:lineRule="auto"/>
        <w:rPr>
          <w:rFonts w:eastAsia="Cambria"/>
        </w:rPr>
      </w:pPr>
      <w:r>
        <w:t xml:space="preserve">While the proposed </w:t>
      </w:r>
      <w:r w:rsidR="005028DB">
        <w:t>Phase One Rule</w:t>
      </w:r>
      <w:r>
        <w:t xml:space="preserve"> covered </w:t>
      </w:r>
      <w:r w:rsidR="00BC4FD1">
        <w:t>numerous</w:t>
      </w:r>
      <w:r>
        <w:t xml:space="preserve"> technical requirements, </w:t>
      </w:r>
      <w:r w:rsidR="00460C0E">
        <w:t>only a subset of these provisions w</w:t>
      </w:r>
      <w:r w:rsidR="00285731">
        <w:t>as</w:t>
      </w:r>
      <w:r w:rsidR="00460C0E">
        <w:t xml:space="preserve"> finalized</w:t>
      </w:r>
      <w:r w:rsidR="00BC4FD1">
        <w:t xml:space="preserve"> i</w:t>
      </w:r>
      <w:r w:rsidR="00460C0E">
        <w:t>n</w:t>
      </w:r>
      <w:r w:rsidR="00460C0E" w:rsidRPr="0084296F">
        <w:t xml:space="preserve"> July 2018</w:t>
      </w:r>
      <w:r w:rsidR="00BC4FD1">
        <w:t xml:space="preserve"> with </w:t>
      </w:r>
      <w:r w:rsidR="00460C0E" w:rsidRPr="5F47106A">
        <w:rPr>
          <w:rFonts w:eastAsia="Cambria"/>
        </w:rPr>
        <w:t xml:space="preserve">Part One of the Phase One </w:t>
      </w:r>
      <w:r w:rsidR="00460C0E">
        <w:rPr>
          <w:rFonts w:eastAsia="Cambria"/>
        </w:rPr>
        <w:t>A</w:t>
      </w:r>
      <w:r w:rsidR="00460C0E" w:rsidRPr="5F47106A">
        <w:rPr>
          <w:rFonts w:eastAsia="Cambria"/>
        </w:rPr>
        <w:t xml:space="preserve">mendments to the </w:t>
      </w:r>
      <w:r w:rsidR="00460C0E">
        <w:rPr>
          <w:rFonts w:eastAsia="Cambria"/>
        </w:rPr>
        <w:t xml:space="preserve">Federal </w:t>
      </w:r>
      <w:r w:rsidR="00460C0E" w:rsidRPr="5F47106A">
        <w:rPr>
          <w:rFonts w:eastAsia="Cambria"/>
        </w:rPr>
        <w:t>CCR Rule (</w:t>
      </w:r>
      <w:r w:rsidR="00285731">
        <w:rPr>
          <w:rFonts w:eastAsia="Cambria"/>
        </w:rPr>
        <w:t>“</w:t>
      </w:r>
      <w:r w:rsidR="00460C0E" w:rsidRPr="5F47106A">
        <w:rPr>
          <w:rFonts w:eastAsia="Cambria"/>
        </w:rPr>
        <w:t xml:space="preserve">Phase One, Part One </w:t>
      </w:r>
      <w:r w:rsidR="00285731">
        <w:rPr>
          <w:rFonts w:eastAsia="Cambria"/>
        </w:rPr>
        <w:t>R</w:t>
      </w:r>
      <w:r w:rsidR="00460C0E" w:rsidRPr="5F47106A">
        <w:rPr>
          <w:rFonts w:eastAsia="Cambria"/>
        </w:rPr>
        <w:t>ule</w:t>
      </w:r>
      <w:r w:rsidR="00285731">
        <w:rPr>
          <w:rFonts w:eastAsia="Cambria"/>
        </w:rPr>
        <w:t>”</w:t>
      </w:r>
      <w:r w:rsidR="00460C0E" w:rsidRPr="5F47106A">
        <w:rPr>
          <w:rFonts w:eastAsia="Cambria"/>
        </w:rPr>
        <w:t>)</w:t>
      </w:r>
      <w:r w:rsidR="00654DB2">
        <w:rPr>
          <w:rFonts w:eastAsia="Cambria"/>
        </w:rPr>
        <w:t xml:space="preserve">. The </w:t>
      </w:r>
      <w:r w:rsidR="00AB56A3">
        <w:rPr>
          <w:rFonts w:eastAsia="Cambria"/>
        </w:rPr>
        <w:t>Phase One,</w:t>
      </w:r>
      <w:r w:rsidR="00654DB2">
        <w:rPr>
          <w:rFonts w:eastAsia="Cambria"/>
        </w:rPr>
        <w:t xml:space="preserve"> Part One Rule </w:t>
      </w:r>
      <w:r w:rsidR="00654DB2">
        <w:t xml:space="preserve">established groundwater protection standards for lithium, molybdenum, </w:t>
      </w:r>
      <w:proofErr w:type="gramStart"/>
      <w:r w:rsidR="00654DB2">
        <w:t>cobalt</w:t>
      </w:r>
      <w:proofErr w:type="gramEnd"/>
      <w:r w:rsidR="00654DB2">
        <w:t xml:space="preserve"> and lead</w:t>
      </w:r>
      <w:r w:rsidR="009A683A">
        <w:t xml:space="preserve"> and </w:t>
      </w:r>
      <w:r w:rsidR="00460C0E" w:rsidRPr="5F47106A">
        <w:rPr>
          <w:rFonts w:eastAsia="Cambria"/>
        </w:rPr>
        <w:t>extend</w:t>
      </w:r>
      <w:r w:rsidR="009A683A">
        <w:rPr>
          <w:rFonts w:eastAsia="Cambria"/>
        </w:rPr>
        <w:t>ed</w:t>
      </w:r>
      <w:r w:rsidR="00460C0E" w:rsidRPr="5F47106A">
        <w:rPr>
          <w:rFonts w:eastAsia="Cambria"/>
        </w:rPr>
        <w:t xml:space="preserve"> the deadline to cease receipt of both CCR and non-CCR wastes to October 31, 2020</w:t>
      </w:r>
      <w:r w:rsidR="00DA1938">
        <w:rPr>
          <w:rFonts w:eastAsia="Cambria"/>
        </w:rPr>
        <w:t>,</w:t>
      </w:r>
      <w:r w:rsidR="00CC6C9E">
        <w:rPr>
          <w:rFonts w:eastAsia="Cambria"/>
        </w:rPr>
        <w:t xml:space="preserve"> under certain conditions</w:t>
      </w:r>
      <w:r w:rsidR="00460C0E" w:rsidRPr="5F47106A">
        <w:rPr>
          <w:rFonts w:eastAsia="Cambria"/>
        </w:rPr>
        <w:t xml:space="preserve">. </w:t>
      </w:r>
      <w:r w:rsidR="00573D93">
        <w:rPr>
          <w:rFonts w:eastAsia="Cambria"/>
        </w:rPr>
        <w:t xml:space="preserve">While litigation on the rule resulted in </w:t>
      </w:r>
      <w:r w:rsidR="00140D6D">
        <w:rPr>
          <w:rFonts w:eastAsia="Cambria"/>
        </w:rPr>
        <w:t xml:space="preserve">the D.C. Circuit granting </w:t>
      </w:r>
      <w:r w:rsidR="00573D93">
        <w:rPr>
          <w:rFonts w:eastAsia="Cambria"/>
        </w:rPr>
        <w:t>EPA</w:t>
      </w:r>
      <w:r w:rsidR="00140D6D">
        <w:rPr>
          <w:rFonts w:eastAsia="Cambria"/>
        </w:rPr>
        <w:t xml:space="preserve">’s request to voluntarily review and revise the rule in </w:t>
      </w:r>
      <w:r w:rsidR="00C47E0C">
        <w:rPr>
          <w:rFonts w:eastAsia="Cambria"/>
        </w:rPr>
        <w:t xml:space="preserve">March </w:t>
      </w:r>
      <w:r w:rsidR="00140D6D">
        <w:rPr>
          <w:rFonts w:eastAsia="Cambria"/>
        </w:rPr>
        <w:t>2019, the Court left the rule requirements in place in the meantime.</w:t>
      </w:r>
    </w:p>
    <w:p w14:paraId="58CD529F" w14:textId="6A3E4100" w:rsidR="002448AA" w:rsidRDefault="00C73FE8" w:rsidP="00C942DB">
      <w:pPr>
        <w:spacing w:before="120" w:after="0" w:line="240" w:lineRule="auto"/>
      </w:pPr>
      <w:r>
        <w:t>I</w:t>
      </w:r>
      <w:r w:rsidR="00B54389" w:rsidRPr="00057E94">
        <w:t xml:space="preserve">n August 2019, </w:t>
      </w:r>
      <w:r w:rsidR="00B54389">
        <w:t>the</w:t>
      </w:r>
      <w:r w:rsidR="00B54389" w:rsidRPr="00057E94">
        <w:t xml:space="preserve"> EPA published the</w:t>
      </w:r>
      <w:r w:rsidR="00DF675C">
        <w:t xml:space="preserve"> Phase Two</w:t>
      </w:r>
      <w:r w:rsidR="00B54389" w:rsidRPr="00057E94">
        <w:t xml:space="preserve"> proposed </w:t>
      </w:r>
      <w:r w:rsidR="00DF675C">
        <w:t>amendments</w:t>
      </w:r>
      <w:r w:rsidR="006746EE">
        <w:t>, which</w:t>
      </w:r>
      <w:r w:rsidR="00B54389" w:rsidRPr="00057E94">
        <w:t xml:space="preserve"> addresses </w:t>
      </w:r>
      <w:r w:rsidR="00B54389">
        <w:t xml:space="preserve">criteria relating to </w:t>
      </w:r>
      <w:r w:rsidR="00B54389" w:rsidRPr="00057E94">
        <w:t>beneficial use</w:t>
      </w:r>
      <w:r w:rsidR="00B54389">
        <w:t xml:space="preserve"> practices</w:t>
      </w:r>
      <w:r w:rsidR="00B54389" w:rsidRPr="00057E94">
        <w:t xml:space="preserve">, proposes a </w:t>
      </w:r>
      <w:r w:rsidR="006A2932">
        <w:t xml:space="preserve">potential </w:t>
      </w:r>
      <w:r w:rsidR="00B54389">
        <w:t>b</w:t>
      </w:r>
      <w:r w:rsidR="00B54389" w:rsidRPr="00057E94">
        <w:t>oron groundwater protection standard</w:t>
      </w:r>
      <w:r w:rsidR="00B54389">
        <w:t>,</w:t>
      </w:r>
      <w:r w:rsidR="00B54389" w:rsidRPr="00057E94">
        <w:t xml:space="preserve"> and </w:t>
      </w:r>
      <w:r w:rsidR="00242D87">
        <w:t>requires</w:t>
      </w:r>
      <w:r w:rsidR="00B54389" w:rsidRPr="00057E94">
        <w:t xml:space="preserve"> groundwater data </w:t>
      </w:r>
      <w:r w:rsidR="00B54389">
        <w:t>and annual reports</w:t>
      </w:r>
      <w:r w:rsidR="00B54389" w:rsidRPr="00057E94">
        <w:t xml:space="preserve"> </w:t>
      </w:r>
      <w:r w:rsidR="00242D87">
        <w:t>to be m</w:t>
      </w:r>
      <w:r w:rsidR="00B54389" w:rsidRPr="00057E94">
        <w:t>ore accessible and transparent</w:t>
      </w:r>
      <w:r w:rsidR="00B54389">
        <w:t xml:space="preserve"> to the public</w:t>
      </w:r>
      <w:r w:rsidR="00B54389" w:rsidRPr="00057E94">
        <w:t>.</w:t>
      </w:r>
      <w:r w:rsidR="00B54389">
        <w:t xml:space="preserve"> In December 2020, the EPA </w:t>
      </w:r>
      <w:r w:rsidR="00EF59BC">
        <w:t xml:space="preserve">sought additional comment related to these proposed amendments, especially on </w:t>
      </w:r>
      <w:r w:rsidR="00B54389">
        <w:t>beneficial use processes</w:t>
      </w:r>
      <w:r w:rsidR="00C974CB">
        <w:t xml:space="preserve">, but </w:t>
      </w:r>
      <w:r w:rsidR="00460C0E">
        <w:t xml:space="preserve">has not </w:t>
      </w:r>
      <w:r w:rsidR="00C974CB">
        <w:t xml:space="preserve">yet </w:t>
      </w:r>
      <w:r w:rsidR="00460C0E">
        <w:t xml:space="preserve">taken final action.  </w:t>
      </w:r>
    </w:p>
    <w:p w14:paraId="5807C85E" w14:textId="1ACCAF3B" w:rsidR="00AC3E0E" w:rsidRPr="00D32D38" w:rsidRDefault="00AC3E0E" w:rsidP="00C942DB">
      <w:pPr>
        <w:autoSpaceDE w:val="0"/>
        <w:autoSpaceDN w:val="0"/>
        <w:adjustRightInd w:val="0"/>
        <w:spacing w:before="120" w:after="0" w:line="240" w:lineRule="auto"/>
        <w:rPr>
          <w:b/>
          <w:bCs/>
        </w:rPr>
      </w:pPr>
      <w:r w:rsidRPr="00D32D38">
        <w:rPr>
          <w:rFonts w:asciiTheme="majorHAnsi" w:eastAsiaTheme="majorEastAsia" w:hAnsiTheme="majorHAnsi" w:cstheme="majorBidi"/>
          <w:b/>
          <w:bCs/>
          <w:color w:val="2F5496" w:themeColor="accent1" w:themeShade="BF"/>
          <w:sz w:val="24"/>
          <w:szCs w:val="24"/>
        </w:rPr>
        <w:t>Federal CCR Rule Revisions: 201</w:t>
      </w:r>
      <w:r w:rsidR="00C86D5E" w:rsidRPr="00D32D38">
        <w:rPr>
          <w:rFonts w:asciiTheme="majorHAnsi" w:eastAsiaTheme="majorEastAsia" w:hAnsiTheme="majorHAnsi" w:cstheme="majorBidi"/>
          <w:b/>
          <w:bCs/>
          <w:color w:val="2F5496" w:themeColor="accent1" w:themeShade="BF"/>
          <w:sz w:val="24"/>
          <w:szCs w:val="24"/>
        </w:rPr>
        <w:t>8 Litigation</w:t>
      </w:r>
      <w:r w:rsidR="005A42C5" w:rsidRPr="00D32D38">
        <w:rPr>
          <w:rFonts w:asciiTheme="majorHAnsi" w:eastAsiaTheme="majorEastAsia" w:hAnsiTheme="majorHAnsi" w:cstheme="majorBidi"/>
          <w:b/>
          <w:bCs/>
          <w:color w:val="2F5496" w:themeColor="accent1" w:themeShade="BF"/>
          <w:sz w:val="24"/>
          <w:szCs w:val="24"/>
        </w:rPr>
        <w:t>, Part A and Part B Rulemakings</w:t>
      </w:r>
    </w:p>
    <w:p w14:paraId="5C3EDFB3" w14:textId="1DB553BF" w:rsidR="000D240E" w:rsidRPr="00F72E8D" w:rsidRDefault="00685FDE" w:rsidP="00C942DB">
      <w:pPr>
        <w:spacing w:before="120" w:after="0" w:line="240" w:lineRule="auto"/>
        <w:rPr>
          <w:sz w:val="24"/>
          <w:szCs w:val="24"/>
        </w:rPr>
      </w:pPr>
      <w:r>
        <w:t>I</w:t>
      </w:r>
      <w:r w:rsidR="000D240E">
        <w:t xml:space="preserve">n August 2018, the U.S. Court of Appeals for the D.C. Circuit issued a decision (1) vacating an exemption from the federal CCR rule for inactive surface impoundments at inactive power plants; (2) requiring all unlined CCR surface impoundments to close, irrespective of whether the impoundments are meeting the rule’s groundwater protection standards; and (3) vacating a provision that classified certain clay-lined impoundments as “lined,” meaning that all clay-lined impoundments are </w:t>
      </w:r>
      <w:r w:rsidR="00D0505D">
        <w:t xml:space="preserve">considered </w:t>
      </w:r>
      <w:r w:rsidR="000D240E">
        <w:t xml:space="preserve">unlined and must close. </w:t>
      </w:r>
      <w:r w:rsidR="00A66DA9">
        <w:t xml:space="preserve">As a result of the Court </w:t>
      </w:r>
      <w:r w:rsidR="008A63EF">
        <w:t>decision</w:t>
      </w:r>
      <w:r w:rsidR="00A66DA9">
        <w:t xml:space="preserve">, </w:t>
      </w:r>
      <w:r w:rsidR="000D240E" w:rsidRPr="53ADDA6E">
        <w:t xml:space="preserve">EPA </w:t>
      </w:r>
      <w:r w:rsidR="00A66DA9">
        <w:t xml:space="preserve">must </w:t>
      </w:r>
      <w:r w:rsidR="000D240E" w:rsidRPr="53ADDA6E">
        <w:t xml:space="preserve">revisit </w:t>
      </w:r>
      <w:r w:rsidR="003312E7">
        <w:t xml:space="preserve">certain </w:t>
      </w:r>
      <w:r w:rsidR="000D240E" w:rsidRPr="53ADDA6E">
        <w:t>elements of the CCR rule.</w:t>
      </w:r>
    </w:p>
    <w:p w14:paraId="281F2EB8" w14:textId="50DED4A2" w:rsidR="00F26A77" w:rsidRDefault="00AB6ACF" w:rsidP="00C942DB">
      <w:pPr>
        <w:spacing w:before="120" w:after="0" w:line="240" w:lineRule="auto"/>
        <w:rPr>
          <w:rFonts w:eastAsia="Times New Roman"/>
        </w:rPr>
      </w:pPr>
      <w:r>
        <w:rPr>
          <w:rStyle w:val="normaltextrun1"/>
          <w:rFonts w:cs="Arial"/>
        </w:rPr>
        <w:t>After</w:t>
      </w:r>
      <w:r w:rsidR="00F26A77">
        <w:rPr>
          <w:rStyle w:val="normaltextrun1"/>
          <w:rFonts w:cs="Arial"/>
        </w:rPr>
        <w:t xml:space="preserve"> D.C. Circuit decision, EPA proposed two separate rulemakings to address certain issues</w:t>
      </w:r>
      <w:r w:rsidR="006A6052">
        <w:rPr>
          <w:rStyle w:val="normaltextrun1"/>
          <w:rFonts w:cs="Arial"/>
        </w:rPr>
        <w:t xml:space="preserve">, one titled </w:t>
      </w:r>
      <w:r w:rsidR="006A6052" w:rsidRPr="004237A2">
        <w:rPr>
          <w:rFonts w:eastAsia="Times New Roman"/>
        </w:rPr>
        <w:t>“</w:t>
      </w:r>
      <w:r w:rsidR="006A6052" w:rsidRPr="0AF8DB6F">
        <w:rPr>
          <w:rStyle w:val="normaltextrun1"/>
          <w:rFonts w:cs="Arial"/>
        </w:rPr>
        <w:t>A</w:t>
      </w:r>
      <w:r w:rsidR="006A6052" w:rsidRPr="0084296F">
        <w:rPr>
          <w:rStyle w:val="normaltextrun1"/>
          <w:rFonts w:cs="Arial"/>
        </w:rPr>
        <w:t xml:space="preserve"> Holistic Approach to Closure Part A: Deadline to Initiate Closure”</w:t>
      </w:r>
      <w:r w:rsidR="006A6052">
        <w:rPr>
          <w:rStyle w:val="normaltextrun1"/>
          <w:rFonts w:cs="Arial"/>
        </w:rPr>
        <w:t xml:space="preserve"> (“Part A</w:t>
      </w:r>
      <w:r w:rsidR="004D4F39">
        <w:rPr>
          <w:rStyle w:val="normaltextrun1"/>
          <w:rFonts w:cs="Arial"/>
        </w:rPr>
        <w:t xml:space="preserve"> Rule</w:t>
      </w:r>
      <w:r w:rsidR="006A6052">
        <w:rPr>
          <w:rStyle w:val="normaltextrun1"/>
          <w:rFonts w:cs="Arial"/>
        </w:rPr>
        <w:t>”)</w:t>
      </w:r>
      <w:r w:rsidR="004D4F39">
        <w:rPr>
          <w:rStyle w:val="normaltextrun1"/>
          <w:rFonts w:cs="Arial"/>
        </w:rPr>
        <w:t xml:space="preserve"> and the other titled </w:t>
      </w:r>
      <w:r w:rsidR="004D4F39" w:rsidRPr="0060527B">
        <w:t>“Holistic Approach to Closure Part B; Alternate Demonstration for Unlined Surface Impoundments; Implementation of Closure”</w:t>
      </w:r>
      <w:r w:rsidR="004D4F39">
        <w:t xml:space="preserve"> (“Part B Rule”)</w:t>
      </w:r>
      <w:r w:rsidR="00F26A77">
        <w:rPr>
          <w:rStyle w:val="normaltextrun1"/>
          <w:rFonts w:cs="Arial"/>
        </w:rPr>
        <w:t xml:space="preserve">.  </w:t>
      </w:r>
      <w:r w:rsidR="00F26A77">
        <w:rPr>
          <w:rFonts w:eastAsia="Times New Roman"/>
        </w:rPr>
        <w:t>In</w:t>
      </w:r>
      <w:r w:rsidR="00F26A77">
        <w:rPr>
          <w:rStyle w:val="normaltextrun1"/>
          <w:rFonts w:cs="Arial"/>
        </w:rPr>
        <w:t xml:space="preserve"> August 2020</w:t>
      </w:r>
      <w:r w:rsidR="00F26A77" w:rsidRPr="0084296F">
        <w:rPr>
          <w:rStyle w:val="normaltextrun1"/>
          <w:rFonts w:cs="Arial"/>
        </w:rPr>
        <w:t xml:space="preserve">, </w:t>
      </w:r>
      <w:r w:rsidR="00F26A77" w:rsidRPr="0AF8DB6F">
        <w:rPr>
          <w:rFonts w:eastAsia="Times New Roman"/>
        </w:rPr>
        <w:t xml:space="preserve">EPA </w:t>
      </w:r>
      <w:r w:rsidR="00F26A77">
        <w:rPr>
          <w:rFonts w:eastAsia="Times New Roman"/>
        </w:rPr>
        <w:t>finalized</w:t>
      </w:r>
      <w:r w:rsidR="00F26A77" w:rsidRPr="004237A2">
        <w:rPr>
          <w:rFonts w:eastAsia="Times New Roman"/>
        </w:rPr>
        <w:t xml:space="preserve"> </w:t>
      </w:r>
      <w:r w:rsidR="004D4F39">
        <w:rPr>
          <w:rFonts w:eastAsia="Times New Roman"/>
        </w:rPr>
        <w:t>the Part A Rule</w:t>
      </w:r>
      <w:r w:rsidR="00C37F03">
        <w:rPr>
          <w:rStyle w:val="normaltextrun1"/>
          <w:rFonts w:cs="Arial"/>
        </w:rPr>
        <w:t xml:space="preserve">, which </w:t>
      </w:r>
      <w:r w:rsidR="00F26A77">
        <w:rPr>
          <w:rStyle w:val="normaltextrun1"/>
          <w:rFonts w:cs="Arial"/>
        </w:rPr>
        <w:t>incorporated</w:t>
      </w:r>
      <w:r w:rsidR="00C37F03">
        <w:rPr>
          <w:rStyle w:val="normaltextrun1"/>
          <w:rFonts w:cs="Arial"/>
        </w:rPr>
        <w:t xml:space="preserve"> a new </w:t>
      </w:r>
      <w:r w:rsidR="00F26A77" w:rsidRPr="00F26A77">
        <w:rPr>
          <w:rFonts w:eastAsia="Times New Roman" w:cstheme="minorHAnsi"/>
          <w:szCs w:val="20"/>
        </w:rPr>
        <w:t>deadline for unlined impoundments to cease receipt of waste and initiate closure no later than April 11, 2021;</w:t>
      </w:r>
      <w:r w:rsidR="00C37F03">
        <w:rPr>
          <w:rFonts w:eastAsia="Times New Roman" w:cstheme="minorHAnsi"/>
          <w:szCs w:val="20"/>
        </w:rPr>
        <w:t xml:space="preserve"> e</w:t>
      </w:r>
      <w:r w:rsidR="00F26A77" w:rsidRPr="00C37F03">
        <w:rPr>
          <w:rFonts w:eastAsia="Times New Roman" w:cstheme="minorHAnsi"/>
          <w:szCs w:val="20"/>
        </w:rPr>
        <w:t>xtend</w:t>
      </w:r>
      <w:r w:rsidR="00C37F03">
        <w:rPr>
          <w:rFonts w:eastAsia="Times New Roman" w:cstheme="minorHAnsi"/>
          <w:szCs w:val="20"/>
        </w:rPr>
        <w:t>ed</w:t>
      </w:r>
      <w:r w:rsidR="00F26A77" w:rsidRPr="00C37F03">
        <w:rPr>
          <w:rFonts w:eastAsia="Times New Roman" w:cstheme="minorHAnsi"/>
          <w:szCs w:val="20"/>
        </w:rPr>
        <w:t xml:space="preserve"> the existing alternative closure extensions to include CCR and non-CCR waste streams;</w:t>
      </w:r>
      <w:r w:rsidR="004C2052">
        <w:rPr>
          <w:rFonts w:eastAsia="Times New Roman" w:cstheme="minorHAnsi"/>
          <w:szCs w:val="20"/>
        </w:rPr>
        <w:t xml:space="preserve"> a</w:t>
      </w:r>
      <w:r w:rsidR="00F26A77" w:rsidRPr="00F26A77">
        <w:rPr>
          <w:rFonts w:eastAsia="Times New Roman" w:cstheme="minorHAnsi"/>
          <w:szCs w:val="20"/>
        </w:rPr>
        <w:t>dd</w:t>
      </w:r>
      <w:r w:rsidR="004C2052">
        <w:rPr>
          <w:rFonts w:eastAsia="Times New Roman" w:cstheme="minorHAnsi"/>
          <w:szCs w:val="20"/>
        </w:rPr>
        <w:t xml:space="preserve">ed requirements for the </w:t>
      </w:r>
      <w:r w:rsidR="00F26A77" w:rsidRPr="00F26A77">
        <w:rPr>
          <w:rFonts w:eastAsia="Times New Roman" w:cstheme="minorHAnsi"/>
          <w:szCs w:val="20"/>
        </w:rPr>
        <w:t xml:space="preserve">publicly accessible CCR website; </w:t>
      </w:r>
      <w:r w:rsidR="00B95B78">
        <w:rPr>
          <w:rFonts w:eastAsia="Times New Roman" w:cstheme="minorHAnsi"/>
          <w:szCs w:val="20"/>
        </w:rPr>
        <w:t>and changed the c</w:t>
      </w:r>
      <w:r w:rsidR="00F26A77" w:rsidRPr="00B95B78">
        <w:rPr>
          <w:rFonts w:eastAsia="Times New Roman" w:cstheme="minorHAnsi"/>
          <w:szCs w:val="20"/>
        </w:rPr>
        <w:t>lassification of compacted-soil lined, or “clay-lined</w:t>
      </w:r>
      <w:r w:rsidR="0002338D">
        <w:rPr>
          <w:rFonts w:eastAsia="Times New Roman" w:cstheme="minorHAnsi"/>
          <w:szCs w:val="20"/>
        </w:rPr>
        <w:t>,</w:t>
      </w:r>
      <w:r w:rsidR="00F26A77" w:rsidRPr="00B95B78">
        <w:rPr>
          <w:rFonts w:eastAsia="Times New Roman" w:cstheme="minorHAnsi"/>
          <w:szCs w:val="20"/>
        </w:rPr>
        <w:t>”</w:t>
      </w:r>
      <w:r w:rsidR="00CF0A96">
        <w:rPr>
          <w:rFonts w:eastAsia="Times New Roman" w:cstheme="minorHAnsi"/>
          <w:szCs w:val="20"/>
        </w:rPr>
        <w:t xml:space="preserve"> </w:t>
      </w:r>
      <w:r w:rsidR="00F26A77" w:rsidRPr="00B95B78">
        <w:rPr>
          <w:rFonts w:eastAsia="Times New Roman" w:cstheme="minorHAnsi"/>
          <w:szCs w:val="20"/>
        </w:rPr>
        <w:t>surface impoundments to “unlined.”</w:t>
      </w:r>
      <w:r w:rsidR="00066176">
        <w:rPr>
          <w:rFonts w:eastAsia="Times New Roman" w:cstheme="minorHAnsi"/>
          <w:szCs w:val="20"/>
        </w:rPr>
        <w:t xml:space="preserve"> </w:t>
      </w:r>
      <w:r w:rsidR="00C62FF5">
        <w:rPr>
          <w:rFonts w:eastAsia="Times New Roman" w:cstheme="minorHAnsi"/>
          <w:szCs w:val="20"/>
        </w:rPr>
        <w:t>I</w:t>
      </w:r>
      <w:r w:rsidR="00F26A77" w:rsidRPr="0060527B">
        <w:rPr>
          <w:rFonts w:eastAsia="Times New Roman"/>
        </w:rPr>
        <w:t xml:space="preserve">n November 2020, EPA finalized a portion of the proposed </w:t>
      </w:r>
      <w:r w:rsidR="00C62FF5">
        <w:rPr>
          <w:rFonts w:eastAsia="Times New Roman"/>
        </w:rPr>
        <w:t>Part B R</w:t>
      </w:r>
      <w:r w:rsidR="00F26A77" w:rsidRPr="0060527B">
        <w:rPr>
          <w:rFonts w:eastAsia="Times New Roman"/>
        </w:rPr>
        <w:t>ule</w:t>
      </w:r>
      <w:r w:rsidR="00A3537D">
        <w:rPr>
          <w:rFonts w:eastAsia="Times New Roman"/>
        </w:rPr>
        <w:t xml:space="preserve">, </w:t>
      </w:r>
      <w:r w:rsidR="00F26A77" w:rsidRPr="0060527B">
        <w:rPr>
          <w:rFonts w:eastAsia="Times New Roman"/>
        </w:rPr>
        <w:t>provid</w:t>
      </w:r>
      <w:r w:rsidR="00A3537D">
        <w:rPr>
          <w:rFonts w:eastAsia="Times New Roman"/>
        </w:rPr>
        <w:t>ing</w:t>
      </w:r>
      <w:r w:rsidR="00F26A77" w:rsidRPr="0060527B">
        <w:rPr>
          <w:rFonts w:eastAsia="Times New Roman"/>
        </w:rPr>
        <w:t xml:space="preserve"> </w:t>
      </w:r>
      <w:r w:rsidR="00585185">
        <w:rPr>
          <w:rFonts w:eastAsia="Times New Roman"/>
        </w:rPr>
        <w:t xml:space="preserve">a pathway for </w:t>
      </w:r>
      <w:r w:rsidR="00F26A77" w:rsidRPr="0060527B">
        <w:rPr>
          <w:rFonts w:eastAsia="Times New Roman"/>
        </w:rPr>
        <w:t>owner</w:t>
      </w:r>
      <w:r w:rsidR="00A3537D">
        <w:rPr>
          <w:rFonts w:eastAsia="Times New Roman"/>
        </w:rPr>
        <w:t>s</w:t>
      </w:r>
      <w:r w:rsidR="00F26A77" w:rsidRPr="0060527B">
        <w:rPr>
          <w:rFonts w:eastAsia="Times New Roman"/>
        </w:rPr>
        <w:t>/operator</w:t>
      </w:r>
      <w:r w:rsidR="00A3537D">
        <w:rPr>
          <w:rFonts w:eastAsia="Times New Roman"/>
        </w:rPr>
        <w:t>s</w:t>
      </w:r>
      <w:r w:rsidR="00F26A77" w:rsidRPr="0060527B">
        <w:rPr>
          <w:rFonts w:eastAsia="Times New Roman"/>
        </w:rPr>
        <w:t xml:space="preserve"> to demonstrate that alternative liner systems</w:t>
      </w:r>
      <w:r w:rsidR="002B7111">
        <w:rPr>
          <w:rFonts w:eastAsia="Times New Roman"/>
        </w:rPr>
        <w:t>,</w:t>
      </w:r>
      <w:r w:rsidR="00F26A77" w:rsidRPr="0060527B">
        <w:rPr>
          <w:rFonts w:eastAsia="Times New Roman"/>
        </w:rPr>
        <w:t xml:space="preserve"> such as natural clay</w:t>
      </w:r>
      <w:r w:rsidR="002B7111">
        <w:rPr>
          <w:rFonts w:eastAsia="Times New Roman"/>
        </w:rPr>
        <w:t>,</w:t>
      </w:r>
      <w:r w:rsidR="00F26A77" w:rsidRPr="0060527B">
        <w:rPr>
          <w:rFonts w:eastAsia="Times New Roman"/>
        </w:rPr>
        <w:t xml:space="preserve"> perform as well as or better than </w:t>
      </w:r>
      <w:r w:rsidR="00C62FF5">
        <w:rPr>
          <w:rFonts w:eastAsia="Times New Roman"/>
        </w:rPr>
        <w:t xml:space="preserve">the </w:t>
      </w:r>
      <w:r w:rsidR="00F26A77" w:rsidRPr="0060527B">
        <w:rPr>
          <w:rFonts w:eastAsia="Times New Roman"/>
        </w:rPr>
        <w:t xml:space="preserve">composite liner systems required by the CCR rule. </w:t>
      </w:r>
    </w:p>
    <w:p w14:paraId="1C1087D1" w14:textId="4061FFA3" w:rsidR="00374B82" w:rsidRDefault="00374B82" w:rsidP="00C942DB">
      <w:pPr>
        <w:spacing w:before="120" w:after="0" w:line="240" w:lineRule="auto"/>
        <w:rPr>
          <w:color w:val="000000" w:themeColor="text1"/>
        </w:rPr>
      </w:pPr>
      <w:r>
        <w:t xml:space="preserve">In October 2020, EPA published </w:t>
      </w:r>
      <w:r w:rsidR="00A13600">
        <w:t>an advanced notice of proposed rulemaking on l</w:t>
      </w:r>
      <w:r>
        <w:t xml:space="preserve">egacy </w:t>
      </w:r>
      <w:r w:rsidR="00A13600">
        <w:t>s</w:t>
      </w:r>
      <w:r>
        <w:t xml:space="preserve">urface </w:t>
      </w:r>
      <w:r w:rsidR="00A13600">
        <w:t>i</w:t>
      </w:r>
      <w:r>
        <w:t>mpoundments</w:t>
      </w:r>
      <w:r w:rsidR="00F14D1D">
        <w:t>, or inactive surface impoundments at retired electricity generation facilities</w:t>
      </w:r>
      <w:r>
        <w:t xml:space="preserve">. This </w:t>
      </w:r>
      <w:r w:rsidR="00A13600">
        <w:t>notice solicited</w:t>
      </w:r>
      <w:r>
        <w:t xml:space="preserve"> data and information on the status and number of legacy impoundments. EPA stated that </w:t>
      </w:r>
      <w:r w:rsidR="006F1D55">
        <w:t xml:space="preserve">a future proposed rule </w:t>
      </w:r>
      <w:r>
        <w:t>may include a new definition for legacy surface impoundments and may propose requir</w:t>
      </w:r>
      <w:r w:rsidR="004B2DA6">
        <w:t>ing</w:t>
      </w:r>
      <w:r>
        <w:t xml:space="preserve"> such impoundments to follow existing regulatory requirements for fugitive dust, groundwater monitoring, closure</w:t>
      </w:r>
      <w:r w:rsidR="00757673">
        <w:t>,</w:t>
      </w:r>
      <w:r>
        <w:t xml:space="preserve"> and other technical requirements. </w:t>
      </w:r>
    </w:p>
    <w:p w14:paraId="228A4E7D" w14:textId="07C2A19C" w:rsidR="00516782" w:rsidRDefault="00516782" w:rsidP="00C942DB">
      <w:pPr>
        <w:spacing w:before="120" w:after="0" w:line="240" w:lineRule="auto"/>
        <w:rPr>
          <w:b/>
          <w:bCs/>
          <w:color w:val="000000" w:themeColor="text1"/>
        </w:rPr>
      </w:pPr>
      <w:r w:rsidRPr="00D32D38">
        <w:rPr>
          <w:rFonts w:asciiTheme="majorHAnsi" w:eastAsiaTheme="majorEastAsia" w:hAnsiTheme="majorHAnsi" w:cstheme="majorBidi"/>
          <w:b/>
          <w:bCs/>
          <w:color w:val="2F5496" w:themeColor="accent1" w:themeShade="BF"/>
          <w:sz w:val="24"/>
          <w:szCs w:val="24"/>
        </w:rPr>
        <w:t>Federal CCR Rule</w:t>
      </w:r>
      <w:r>
        <w:rPr>
          <w:rFonts w:asciiTheme="majorHAnsi" w:eastAsiaTheme="majorEastAsia" w:hAnsiTheme="majorHAnsi" w:cstheme="majorBidi"/>
          <w:b/>
          <w:bCs/>
          <w:color w:val="2F5496" w:themeColor="accent1" w:themeShade="BF"/>
          <w:sz w:val="24"/>
          <w:szCs w:val="24"/>
        </w:rPr>
        <w:t xml:space="preserve"> Determinations</w:t>
      </w:r>
    </w:p>
    <w:p w14:paraId="0B46DB23" w14:textId="37582C7C" w:rsidR="00644B60" w:rsidRPr="002B42B4" w:rsidRDefault="005B26A9" w:rsidP="002B42B4">
      <w:pPr>
        <w:spacing w:before="120" w:after="0"/>
      </w:pPr>
      <w:r>
        <w:t xml:space="preserve">In </w:t>
      </w:r>
      <w:r w:rsidR="00045100">
        <w:t>proposed determination</w:t>
      </w:r>
      <w:r w:rsidR="002456B8">
        <w:t>s</w:t>
      </w:r>
      <w:r w:rsidR="006E4221">
        <w:t xml:space="preserve"> published in January 2022</w:t>
      </w:r>
      <w:r w:rsidR="00045100">
        <w:t xml:space="preserve"> </w:t>
      </w:r>
      <w:r w:rsidR="002456B8">
        <w:t>for facilities across the Midwest and Northeast related to compliance extensions under the CCR Part A Rule</w:t>
      </w:r>
      <w:r w:rsidR="00045100">
        <w:t xml:space="preserve"> and in subsequent actions</w:t>
      </w:r>
      <w:r w:rsidR="007D6AE0">
        <w:t xml:space="preserve"> for various </w:t>
      </w:r>
      <w:r w:rsidR="006E4221">
        <w:t xml:space="preserve">other </w:t>
      </w:r>
      <w:r w:rsidR="007D6AE0">
        <w:t>facilities outside of Georgia</w:t>
      </w:r>
      <w:r w:rsidR="00644B60" w:rsidRPr="002B42B4">
        <w:t xml:space="preserve">, EPA </w:t>
      </w:r>
      <w:r w:rsidR="00D54E67">
        <w:t xml:space="preserve">expressed new positions on </w:t>
      </w:r>
      <w:r w:rsidR="002456B8">
        <w:t xml:space="preserve">various aspects of </w:t>
      </w:r>
      <w:r w:rsidR="00D54E67">
        <w:t>the CCR Rule compliance requirements</w:t>
      </w:r>
      <w:r w:rsidR="002456B8">
        <w:t>, including issues</w:t>
      </w:r>
      <w:r w:rsidR="00D54E67">
        <w:t xml:space="preserve"> related to closure performance standards, groundwater monitoring, and </w:t>
      </w:r>
      <w:r w:rsidR="00D54E67">
        <w:lastRenderedPageBreak/>
        <w:t xml:space="preserve">corrective action requirements. </w:t>
      </w:r>
      <w:r w:rsidR="008F3E38">
        <w:t>N</w:t>
      </w:r>
      <w:r w:rsidR="009B5AF6">
        <w:t>one of the determinations were requested by nor applied to facilities in Georgia</w:t>
      </w:r>
      <w:r w:rsidR="00062CCF">
        <w:t>.</w:t>
      </w:r>
      <w:r w:rsidR="002456B8">
        <w:t xml:space="preserve"> </w:t>
      </w:r>
    </w:p>
    <w:p w14:paraId="38518BAE" w14:textId="3D6FC36E" w:rsidR="00644B60" w:rsidRPr="006A18C5" w:rsidRDefault="005D534E" w:rsidP="006A18C5">
      <w:pPr>
        <w:spacing w:before="120" w:after="0"/>
      </w:pPr>
      <w:r>
        <w:t>I</w:t>
      </w:r>
      <w:r w:rsidR="00644B60" w:rsidRPr="006A18C5">
        <w:t xml:space="preserve">n April 2022, USWAG and a group of generating facilities filed petitions for review in the D.C. Circuit Court of Appeals, challenging EPA’s January </w:t>
      </w:r>
      <w:r w:rsidR="00FB1558">
        <w:t>2022</w:t>
      </w:r>
      <w:r w:rsidR="00644B60" w:rsidRPr="006A18C5">
        <w:t xml:space="preserve"> actions. The primary basis of the challenge is whether EPA’s actions are new “legislative” rules that should have gone through notice-and-comment rulemaking. </w:t>
      </w:r>
    </w:p>
    <w:p w14:paraId="7D161A49" w14:textId="2EF1D898" w:rsidR="00694EE8" w:rsidRPr="00FD2784" w:rsidRDefault="00FD2784" w:rsidP="00C942DB">
      <w:pPr>
        <w:spacing w:before="120" w:after="0" w:line="240" w:lineRule="auto"/>
        <w:rPr>
          <w:b/>
          <w:bCs/>
          <w:color w:val="000000" w:themeColor="text1"/>
        </w:rPr>
      </w:pPr>
      <w:r w:rsidRPr="00FD2784">
        <w:rPr>
          <w:b/>
          <w:bCs/>
          <w:color w:val="000000" w:themeColor="text1"/>
        </w:rPr>
        <w:t>New</w:t>
      </w:r>
      <w:r w:rsidR="00694EE8" w:rsidRPr="00FD2784">
        <w:rPr>
          <w:b/>
          <w:bCs/>
          <w:color w:val="000000" w:themeColor="text1"/>
        </w:rPr>
        <w:t xml:space="preserve"> Regulatory Updates</w:t>
      </w:r>
    </w:p>
    <w:p w14:paraId="2B864154" w14:textId="2994E18B" w:rsidR="003A4300" w:rsidRPr="00ED6A8D" w:rsidRDefault="00C44D3C" w:rsidP="00BF63EF">
      <w:pPr>
        <w:pStyle w:val="ListParagraph"/>
        <w:numPr>
          <w:ilvl w:val="0"/>
          <w:numId w:val="3"/>
        </w:numPr>
        <w:spacing w:after="0"/>
        <w:rPr>
          <w:rFonts w:asciiTheme="minorHAnsi" w:eastAsiaTheme="minorEastAsia" w:hAnsiTheme="minorHAnsi"/>
          <w:sz w:val="22"/>
        </w:rPr>
      </w:pPr>
      <w:r>
        <w:rPr>
          <w:rFonts w:asciiTheme="minorHAnsi" w:eastAsiaTheme="minorEastAsia" w:hAnsiTheme="minorHAnsi"/>
          <w:sz w:val="22"/>
        </w:rPr>
        <w:t xml:space="preserve">In 2023, </w:t>
      </w:r>
      <w:r w:rsidR="0099559C">
        <w:rPr>
          <w:rFonts w:asciiTheme="minorHAnsi" w:eastAsiaTheme="minorEastAsia" w:hAnsiTheme="minorHAnsi"/>
          <w:sz w:val="22"/>
        </w:rPr>
        <w:t xml:space="preserve">the Company continued to monitor various industry developments related to the Federal CCR Rule. </w:t>
      </w:r>
      <w:r w:rsidR="00235AF5" w:rsidRPr="00235AF5">
        <w:rPr>
          <w:rFonts w:asciiTheme="minorHAnsi" w:eastAsiaTheme="minorEastAsia" w:hAnsiTheme="minorHAnsi"/>
          <w:sz w:val="22"/>
        </w:rPr>
        <w:t>EPA</w:t>
      </w:r>
      <w:r w:rsidR="009A6884">
        <w:rPr>
          <w:rFonts w:asciiTheme="minorHAnsi" w:eastAsiaTheme="minorEastAsia" w:hAnsiTheme="minorHAnsi"/>
          <w:sz w:val="22"/>
        </w:rPr>
        <w:t xml:space="preserve"> continued to issue </w:t>
      </w:r>
      <w:r>
        <w:rPr>
          <w:rFonts w:asciiTheme="minorHAnsi" w:eastAsiaTheme="minorEastAsia" w:hAnsiTheme="minorHAnsi"/>
          <w:sz w:val="22"/>
        </w:rPr>
        <w:t>site-specific determinations related to facilities outside of Georgia</w:t>
      </w:r>
      <w:r w:rsidR="00357364">
        <w:rPr>
          <w:rFonts w:asciiTheme="minorHAnsi" w:eastAsiaTheme="minorEastAsia" w:hAnsiTheme="minorHAnsi"/>
          <w:sz w:val="22"/>
        </w:rPr>
        <w:t>, covering various topics</w:t>
      </w:r>
      <w:r w:rsidR="00B7560B">
        <w:rPr>
          <w:rFonts w:asciiTheme="minorHAnsi" w:eastAsiaTheme="minorEastAsia" w:hAnsiTheme="minorHAnsi"/>
          <w:sz w:val="22"/>
        </w:rPr>
        <w:t>,</w:t>
      </w:r>
      <w:r w:rsidR="00357364">
        <w:rPr>
          <w:rFonts w:asciiTheme="minorHAnsi" w:eastAsiaTheme="minorEastAsia" w:hAnsiTheme="minorHAnsi"/>
          <w:sz w:val="22"/>
        </w:rPr>
        <w:t xml:space="preserve"> such as groundwater monitoring networks and closure-by-removal </w:t>
      </w:r>
      <w:r w:rsidR="00D94BEF">
        <w:rPr>
          <w:rFonts w:asciiTheme="minorHAnsi" w:eastAsiaTheme="minorEastAsia" w:hAnsiTheme="minorHAnsi"/>
          <w:sz w:val="22"/>
        </w:rPr>
        <w:t xml:space="preserve">performance </w:t>
      </w:r>
      <w:r w:rsidR="00357364">
        <w:rPr>
          <w:rFonts w:asciiTheme="minorHAnsi" w:eastAsiaTheme="minorEastAsia" w:hAnsiTheme="minorHAnsi"/>
          <w:sz w:val="22"/>
        </w:rPr>
        <w:t>standards.</w:t>
      </w:r>
      <w:r w:rsidR="000045D3">
        <w:rPr>
          <w:rFonts w:asciiTheme="minorHAnsi" w:eastAsiaTheme="minorEastAsia" w:hAnsiTheme="minorHAnsi"/>
          <w:sz w:val="22"/>
        </w:rPr>
        <w:t xml:space="preserve"> </w:t>
      </w:r>
      <w:r w:rsidR="00463A2B">
        <w:rPr>
          <w:rFonts w:asciiTheme="minorHAnsi" w:eastAsiaTheme="minorEastAsia" w:hAnsiTheme="minorHAnsi"/>
          <w:sz w:val="22"/>
        </w:rPr>
        <w:t xml:space="preserve">In addition, </w:t>
      </w:r>
      <w:r w:rsidR="00656577">
        <w:rPr>
          <w:rFonts w:asciiTheme="minorHAnsi" w:eastAsiaTheme="minorEastAsia" w:hAnsiTheme="minorHAnsi"/>
          <w:sz w:val="22"/>
        </w:rPr>
        <w:t xml:space="preserve">although the Federal CCR Rule is </w:t>
      </w:r>
      <w:r w:rsidR="00261A6C">
        <w:rPr>
          <w:rFonts w:asciiTheme="minorHAnsi" w:eastAsiaTheme="minorEastAsia" w:hAnsiTheme="minorHAnsi"/>
          <w:sz w:val="22"/>
        </w:rPr>
        <w:t xml:space="preserve">designed as a self-implementing </w:t>
      </w:r>
      <w:r w:rsidR="00E0106A">
        <w:rPr>
          <w:rFonts w:asciiTheme="minorHAnsi" w:eastAsiaTheme="minorEastAsia" w:hAnsiTheme="minorHAnsi"/>
          <w:sz w:val="22"/>
        </w:rPr>
        <w:t>program</w:t>
      </w:r>
      <w:r w:rsidR="00261A6C">
        <w:rPr>
          <w:rFonts w:asciiTheme="minorHAnsi" w:eastAsiaTheme="minorEastAsia" w:hAnsiTheme="minorHAnsi"/>
          <w:sz w:val="22"/>
        </w:rPr>
        <w:t xml:space="preserve">, EPA </w:t>
      </w:r>
      <w:r w:rsidR="00E34171">
        <w:rPr>
          <w:rFonts w:asciiTheme="minorHAnsi" w:eastAsiaTheme="minorEastAsia" w:hAnsiTheme="minorHAnsi"/>
          <w:sz w:val="22"/>
        </w:rPr>
        <w:t xml:space="preserve">began taking certain </w:t>
      </w:r>
      <w:r w:rsidR="00A92D9D">
        <w:rPr>
          <w:rFonts w:asciiTheme="minorHAnsi" w:eastAsiaTheme="minorEastAsia" w:hAnsiTheme="minorHAnsi"/>
          <w:sz w:val="22"/>
        </w:rPr>
        <w:t xml:space="preserve">active </w:t>
      </w:r>
      <w:r w:rsidR="00E34171">
        <w:rPr>
          <w:rFonts w:asciiTheme="minorHAnsi" w:eastAsiaTheme="minorEastAsia" w:hAnsiTheme="minorHAnsi"/>
          <w:sz w:val="22"/>
        </w:rPr>
        <w:t>enforcement steps</w:t>
      </w:r>
      <w:r w:rsidR="00D0025E">
        <w:rPr>
          <w:rFonts w:asciiTheme="minorHAnsi" w:eastAsiaTheme="minorEastAsia" w:hAnsiTheme="minorHAnsi"/>
          <w:sz w:val="22"/>
        </w:rPr>
        <w:t xml:space="preserve"> in 2023</w:t>
      </w:r>
      <w:r w:rsidR="00E34171">
        <w:rPr>
          <w:rFonts w:asciiTheme="minorHAnsi" w:eastAsiaTheme="minorEastAsia" w:hAnsiTheme="minorHAnsi"/>
          <w:sz w:val="22"/>
        </w:rPr>
        <w:t>, including the issuance of Notice</w:t>
      </w:r>
      <w:r w:rsidR="00FA2E67">
        <w:rPr>
          <w:rFonts w:asciiTheme="minorHAnsi" w:eastAsiaTheme="minorEastAsia" w:hAnsiTheme="minorHAnsi"/>
          <w:sz w:val="22"/>
        </w:rPr>
        <w:t>s</w:t>
      </w:r>
      <w:r w:rsidR="00E34171">
        <w:rPr>
          <w:rFonts w:asciiTheme="minorHAnsi" w:eastAsiaTheme="minorEastAsia" w:hAnsiTheme="minorHAnsi"/>
          <w:sz w:val="22"/>
        </w:rPr>
        <w:t xml:space="preserve"> of Potential Violation</w:t>
      </w:r>
      <w:r w:rsidR="005C3471">
        <w:rPr>
          <w:rFonts w:asciiTheme="minorHAnsi" w:eastAsiaTheme="minorEastAsia" w:hAnsiTheme="minorHAnsi"/>
          <w:sz w:val="22"/>
        </w:rPr>
        <w:t xml:space="preserve"> to </w:t>
      </w:r>
      <w:r w:rsidR="00FA2E67">
        <w:rPr>
          <w:rFonts w:asciiTheme="minorHAnsi" w:eastAsiaTheme="minorEastAsia" w:hAnsiTheme="minorHAnsi"/>
          <w:sz w:val="22"/>
        </w:rPr>
        <w:t xml:space="preserve">facilities outside of Georgia. </w:t>
      </w:r>
      <w:r w:rsidR="00E30660" w:rsidRPr="00A35111">
        <w:rPr>
          <w:rFonts w:asciiTheme="minorHAnsi" w:eastAsiaTheme="minorEastAsia" w:hAnsiTheme="minorHAnsi"/>
          <w:sz w:val="22"/>
        </w:rPr>
        <w:t xml:space="preserve"> </w:t>
      </w:r>
    </w:p>
    <w:p w14:paraId="6F0ACE07" w14:textId="08E713CE" w:rsidR="00D23745" w:rsidRDefault="0088261E" w:rsidP="00DC192E">
      <w:pPr>
        <w:pStyle w:val="ListParagraph"/>
        <w:numPr>
          <w:ilvl w:val="0"/>
          <w:numId w:val="3"/>
        </w:numPr>
        <w:spacing w:before="120" w:after="0"/>
        <w:rPr>
          <w:rFonts w:asciiTheme="minorHAnsi" w:eastAsiaTheme="minorEastAsia" w:hAnsiTheme="minorHAnsi"/>
          <w:sz w:val="22"/>
        </w:rPr>
      </w:pPr>
      <w:r w:rsidRPr="0006141B">
        <w:rPr>
          <w:rFonts w:asciiTheme="minorHAnsi" w:eastAsiaTheme="minorEastAsia" w:hAnsiTheme="minorHAnsi"/>
          <w:sz w:val="22"/>
        </w:rPr>
        <w:t xml:space="preserve">On May 18, 2023, </w:t>
      </w:r>
      <w:r w:rsidR="005A6FD2" w:rsidRPr="0006141B">
        <w:rPr>
          <w:rFonts w:asciiTheme="minorHAnsi" w:eastAsiaTheme="minorEastAsia" w:hAnsiTheme="minorHAnsi"/>
          <w:sz w:val="22"/>
        </w:rPr>
        <w:t xml:space="preserve">EPA </w:t>
      </w:r>
      <w:r w:rsidR="00853EF0" w:rsidRPr="0006141B">
        <w:rPr>
          <w:rFonts w:asciiTheme="minorHAnsi" w:eastAsiaTheme="minorEastAsia" w:hAnsiTheme="minorHAnsi"/>
          <w:sz w:val="22"/>
        </w:rPr>
        <w:t>published</w:t>
      </w:r>
      <w:r w:rsidR="005A6FD2" w:rsidRPr="0006141B">
        <w:rPr>
          <w:rFonts w:asciiTheme="minorHAnsi" w:eastAsiaTheme="minorEastAsia" w:hAnsiTheme="minorHAnsi"/>
          <w:sz w:val="22"/>
        </w:rPr>
        <w:t xml:space="preserve"> its proposed </w:t>
      </w:r>
      <w:r w:rsidR="00B94D34" w:rsidRPr="0006141B">
        <w:rPr>
          <w:rFonts w:asciiTheme="minorHAnsi" w:eastAsiaTheme="minorEastAsia" w:hAnsiTheme="minorHAnsi"/>
          <w:sz w:val="22"/>
        </w:rPr>
        <w:t>CCR Legacy Surface Impoundments Rule</w:t>
      </w:r>
      <w:r w:rsidR="005A6FD2" w:rsidRPr="0006141B">
        <w:rPr>
          <w:rFonts w:asciiTheme="minorHAnsi" w:eastAsiaTheme="minorEastAsia" w:hAnsiTheme="minorHAnsi"/>
          <w:sz w:val="22"/>
        </w:rPr>
        <w:t xml:space="preserve">. This </w:t>
      </w:r>
      <w:r w:rsidR="005F7193">
        <w:rPr>
          <w:rFonts w:asciiTheme="minorHAnsi" w:eastAsiaTheme="minorEastAsia" w:hAnsiTheme="minorHAnsi"/>
          <w:sz w:val="22"/>
        </w:rPr>
        <w:t xml:space="preserve">proposed </w:t>
      </w:r>
      <w:r w:rsidR="005A6FD2" w:rsidRPr="0006141B">
        <w:rPr>
          <w:rFonts w:asciiTheme="minorHAnsi" w:eastAsiaTheme="minorEastAsia" w:hAnsiTheme="minorHAnsi"/>
          <w:sz w:val="22"/>
        </w:rPr>
        <w:t xml:space="preserve">rulemaking would </w:t>
      </w:r>
      <w:r w:rsidR="00CD0287" w:rsidRPr="0006141B">
        <w:rPr>
          <w:rFonts w:asciiTheme="minorHAnsi" w:eastAsiaTheme="minorEastAsia" w:hAnsiTheme="minorHAnsi"/>
          <w:sz w:val="22"/>
        </w:rPr>
        <w:t xml:space="preserve">extend federal CCR requirements to </w:t>
      </w:r>
      <w:r w:rsidR="005A6FD2" w:rsidRPr="0006141B">
        <w:rPr>
          <w:rFonts w:asciiTheme="minorHAnsi" w:eastAsiaTheme="minorEastAsia" w:hAnsiTheme="minorHAnsi"/>
          <w:sz w:val="22"/>
        </w:rPr>
        <w:t>legacy CCR surface</w:t>
      </w:r>
      <w:r>
        <w:t xml:space="preserve"> </w:t>
      </w:r>
      <w:r w:rsidR="005A6FD2" w:rsidRPr="0006141B">
        <w:rPr>
          <w:rFonts w:asciiTheme="minorHAnsi" w:eastAsiaTheme="minorEastAsia" w:hAnsiTheme="minorHAnsi"/>
          <w:sz w:val="22"/>
        </w:rPr>
        <w:t>impoundments and include</w:t>
      </w:r>
      <w:r w:rsidR="00CD0287" w:rsidRPr="0006141B">
        <w:rPr>
          <w:rFonts w:asciiTheme="minorHAnsi" w:eastAsiaTheme="minorEastAsia" w:hAnsiTheme="minorHAnsi"/>
          <w:sz w:val="22"/>
        </w:rPr>
        <w:t>s</w:t>
      </w:r>
      <w:r w:rsidR="005A6FD2" w:rsidRPr="0006141B">
        <w:rPr>
          <w:rFonts w:asciiTheme="minorHAnsi" w:eastAsiaTheme="minorEastAsia" w:hAnsiTheme="minorHAnsi"/>
          <w:sz w:val="22"/>
        </w:rPr>
        <w:t xml:space="preserve"> a new classification of regulated units referred to as CCR management units</w:t>
      </w:r>
      <w:r w:rsidR="00121842">
        <w:rPr>
          <w:rFonts w:asciiTheme="minorHAnsi" w:eastAsiaTheme="minorEastAsia" w:hAnsiTheme="minorHAnsi"/>
          <w:sz w:val="22"/>
        </w:rPr>
        <w:t xml:space="preserve"> (CCRMUs)</w:t>
      </w:r>
      <w:r w:rsidR="00FD6C9B">
        <w:rPr>
          <w:rFonts w:asciiTheme="minorHAnsi" w:eastAsiaTheme="minorEastAsia" w:hAnsiTheme="minorHAnsi"/>
          <w:sz w:val="22"/>
        </w:rPr>
        <w:t>, defined as “any area of land on which any non-containerized accumulation of CCR is received, placed, or otherwise managed at any time, that is not a CCR unit.”</w:t>
      </w:r>
      <w:r w:rsidR="00466D68">
        <w:rPr>
          <w:rFonts w:asciiTheme="minorHAnsi" w:eastAsiaTheme="minorEastAsia" w:hAnsiTheme="minorHAnsi"/>
          <w:sz w:val="22"/>
        </w:rPr>
        <w:t xml:space="preserve"> Although EPA provides possible examples of CCRMUs, the propos</w:t>
      </w:r>
      <w:r w:rsidR="006532DD">
        <w:rPr>
          <w:rFonts w:asciiTheme="minorHAnsi" w:eastAsiaTheme="minorEastAsia" w:hAnsiTheme="minorHAnsi"/>
          <w:sz w:val="22"/>
        </w:rPr>
        <w:t>ed regulatory definition</w:t>
      </w:r>
      <w:r w:rsidR="00466D68">
        <w:rPr>
          <w:rFonts w:asciiTheme="minorHAnsi" w:eastAsiaTheme="minorEastAsia" w:hAnsiTheme="minorHAnsi"/>
          <w:sz w:val="22"/>
        </w:rPr>
        <w:t xml:space="preserve"> lacks clarity</w:t>
      </w:r>
      <w:r w:rsidR="005A6FD2" w:rsidRPr="0006141B">
        <w:rPr>
          <w:rFonts w:asciiTheme="minorHAnsi" w:eastAsiaTheme="minorEastAsia" w:hAnsiTheme="minorHAnsi"/>
          <w:sz w:val="22"/>
        </w:rPr>
        <w:t>.</w:t>
      </w:r>
      <w:r w:rsidR="00121842">
        <w:rPr>
          <w:rFonts w:asciiTheme="minorHAnsi" w:eastAsiaTheme="minorEastAsia" w:hAnsiTheme="minorHAnsi"/>
          <w:sz w:val="22"/>
        </w:rPr>
        <w:t xml:space="preserve"> To identify CCRMUs, EPA is proposing that the owner or operator must perform a facility evaluation including a physical inspection within 3 months after the effective date of the final rule.</w:t>
      </w:r>
      <w:r w:rsidR="009D098C">
        <w:rPr>
          <w:rFonts w:asciiTheme="minorHAnsi" w:eastAsiaTheme="minorEastAsia" w:hAnsiTheme="minorHAnsi"/>
          <w:sz w:val="22"/>
        </w:rPr>
        <w:t xml:space="preserve"> Federal CCR rule requirements would then also extend to identified CCRMUs.</w:t>
      </w:r>
      <w:r w:rsidR="00D1662B">
        <w:rPr>
          <w:rFonts w:asciiTheme="minorHAnsi" w:eastAsiaTheme="minorEastAsia" w:hAnsiTheme="minorHAnsi"/>
          <w:sz w:val="22"/>
        </w:rPr>
        <w:t xml:space="preserve"> </w:t>
      </w:r>
    </w:p>
    <w:p w14:paraId="06537EFF" w14:textId="06C5450F" w:rsidR="0006141B" w:rsidRDefault="00D1662B" w:rsidP="00DC192E">
      <w:pPr>
        <w:pStyle w:val="ListParagraph"/>
        <w:numPr>
          <w:ilvl w:val="0"/>
          <w:numId w:val="3"/>
        </w:numPr>
        <w:spacing w:before="120" w:after="0"/>
        <w:rPr>
          <w:rFonts w:asciiTheme="minorHAnsi" w:eastAsiaTheme="minorEastAsia" w:hAnsiTheme="minorHAnsi"/>
          <w:sz w:val="22"/>
        </w:rPr>
      </w:pPr>
      <w:r>
        <w:rPr>
          <w:rFonts w:asciiTheme="minorHAnsi" w:eastAsiaTheme="minorEastAsia" w:hAnsiTheme="minorHAnsi"/>
          <w:sz w:val="22"/>
        </w:rPr>
        <w:t>On November 14, 2023, EPA published</w:t>
      </w:r>
      <w:r w:rsidR="00056CDB">
        <w:rPr>
          <w:rFonts w:asciiTheme="minorHAnsi" w:eastAsiaTheme="minorEastAsia" w:hAnsiTheme="minorHAnsi"/>
          <w:sz w:val="22"/>
        </w:rPr>
        <w:t xml:space="preserve"> for public comment a</w:t>
      </w:r>
      <w:r>
        <w:rPr>
          <w:rFonts w:asciiTheme="minorHAnsi" w:eastAsiaTheme="minorEastAsia" w:hAnsiTheme="minorHAnsi"/>
          <w:sz w:val="22"/>
        </w:rPr>
        <w:t xml:space="preserve"> </w:t>
      </w:r>
      <w:r w:rsidR="00056CDB" w:rsidRPr="00056CDB">
        <w:rPr>
          <w:rFonts w:asciiTheme="minorHAnsi" w:eastAsiaTheme="minorEastAsia" w:hAnsiTheme="minorHAnsi"/>
          <w:sz w:val="22"/>
        </w:rPr>
        <w:t>Notice of Data Availability (“NODA”) announcing new information and data pertaining to the recently proposed Legacy CCR Surface Impoundment rulemaking. The NODA</w:t>
      </w:r>
      <w:r w:rsidR="00056CDB" w:rsidRPr="00056CDB" w:rsidDel="00DC4436">
        <w:rPr>
          <w:rFonts w:asciiTheme="minorHAnsi" w:eastAsiaTheme="minorEastAsia" w:hAnsiTheme="minorHAnsi"/>
          <w:sz w:val="22"/>
        </w:rPr>
        <w:t xml:space="preserve"> </w:t>
      </w:r>
      <w:r w:rsidR="00DC4436">
        <w:rPr>
          <w:rFonts w:asciiTheme="minorHAnsi" w:eastAsiaTheme="minorEastAsia" w:hAnsiTheme="minorHAnsi"/>
          <w:sz w:val="22"/>
        </w:rPr>
        <w:t>sought</w:t>
      </w:r>
      <w:r w:rsidR="00056CDB" w:rsidRPr="00056CDB">
        <w:rPr>
          <w:rFonts w:asciiTheme="minorHAnsi" w:eastAsiaTheme="minorEastAsia" w:hAnsiTheme="minorHAnsi"/>
          <w:sz w:val="22"/>
        </w:rPr>
        <w:t xml:space="preserve"> </w:t>
      </w:r>
      <w:r w:rsidR="00597483">
        <w:rPr>
          <w:rFonts w:asciiTheme="minorHAnsi" w:eastAsiaTheme="minorEastAsia" w:hAnsiTheme="minorHAnsi"/>
          <w:sz w:val="22"/>
        </w:rPr>
        <w:t>comment</w:t>
      </w:r>
      <w:r w:rsidR="00056CDB" w:rsidRPr="00056CDB">
        <w:rPr>
          <w:rFonts w:asciiTheme="minorHAnsi" w:eastAsiaTheme="minorEastAsia" w:hAnsiTheme="minorHAnsi"/>
          <w:sz w:val="22"/>
        </w:rPr>
        <w:t xml:space="preserve"> on the following: (1) a draft supplemental risk assessment prepared by EPA in support of the Proposed Rule, and (2) a new list of what EPA considers the potential universe of legacy surface impoundments and CCRMUs</w:t>
      </w:r>
      <w:r w:rsidR="00597483">
        <w:rPr>
          <w:rFonts w:asciiTheme="minorHAnsi" w:eastAsiaTheme="minorEastAsia" w:hAnsiTheme="minorHAnsi"/>
          <w:sz w:val="22"/>
        </w:rPr>
        <w:t>.</w:t>
      </w:r>
    </w:p>
    <w:p w14:paraId="244B7434" w14:textId="78272FD9" w:rsidR="007B6A51" w:rsidRPr="0006141B" w:rsidRDefault="0006141B" w:rsidP="00DC192E">
      <w:pPr>
        <w:pStyle w:val="ListParagraph"/>
        <w:numPr>
          <w:ilvl w:val="0"/>
          <w:numId w:val="3"/>
        </w:numPr>
        <w:spacing w:before="120" w:after="0"/>
        <w:rPr>
          <w:rFonts w:asciiTheme="minorHAnsi" w:eastAsiaTheme="minorEastAsia" w:hAnsiTheme="minorHAnsi"/>
          <w:sz w:val="22"/>
        </w:rPr>
      </w:pPr>
      <w:r w:rsidRPr="0006141B">
        <w:rPr>
          <w:rFonts w:asciiTheme="minorHAnsi" w:eastAsiaTheme="minorEastAsia" w:hAnsiTheme="minorHAnsi"/>
          <w:sz w:val="22"/>
        </w:rPr>
        <w:t xml:space="preserve">Per consent decree </w:t>
      </w:r>
      <w:r w:rsidR="00135C50">
        <w:rPr>
          <w:rFonts w:asciiTheme="minorHAnsi" w:eastAsiaTheme="minorEastAsia" w:hAnsiTheme="minorHAnsi"/>
          <w:sz w:val="22"/>
        </w:rPr>
        <w:t>at</w:t>
      </w:r>
      <w:r w:rsidRPr="0006141B">
        <w:rPr>
          <w:rFonts w:asciiTheme="minorHAnsi" w:eastAsiaTheme="minorEastAsia" w:hAnsiTheme="minorHAnsi"/>
          <w:sz w:val="22"/>
        </w:rPr>
        <w:t xml:space="preserve"> the U.S. District Court for the District of Columbia, EPA </w:t>
      </w:r>
      <w:r w:rsidR="007B6A51" w:rsidRPr="0006141B">
        <w:rPr>
          <w:rFonts w:asciiTheme="minorHAnsi" w:eastAsiaTheme="minorEastAsia" w:hAnsiTheme="minorHAnsi"/>
          <w:sz w:val="22"/>
        </w:rPr>
        <w:t xml:space="preserve">must sign a final </w:t>
      </w:r>
      <w:r w:rsidRPr="0006141B">
        <w:rPr>
          <w:rFonts w:asciiTheme="minorHAnsi" w:eastAsiaTheme="minorEastAsia" w:hAnsiTheme="minorHAnsi"/>
          <w:sz w:val="22"/>
        </w:rPr>
        <w:t xml:space="preserve">CCR Legacy </w:t>
      </w:r>
      <w:r w:rsidR="00DC4436">
        <w:rPr>
          <w:rFonts w:asciiTheme="minorHAnsi" w:eastAsiaTheme="minorEastAsia" w:hAnsiTheme="minorHAnsi"/>
          <w:sz w:val="22"/>
        </w:rPr>
        <w:t>Surface</w:t>
      </w:r>
      <w:r w:rsidR="00DC4436" w:rsidRPr="0006141B">
        <w:rPr>
          <w:rFonts w:asciiTheme="minorHAnsi" w:eastAsiaTheme="minorEastAsia" w:hAnsiTheme="minorHAnsi"/>
          <w:sz w:val="22"/>
        </w:rPr>
        <w:t xml:space="preserve"> </w:t>
      </w:r>
      <w:r w:rsidRPr="0006141B">
        <w:rPr>
          <w:rFonts w:asciiTheme="minorHAnsi" w:eastAsiaTheme="minorEastAsia" w:hAnsiTheme="minorHAnsi"/>
          <w:sz w:val="22"/>
        </w:rPr>
        <w:t>Impoun</w:t>
      </w:r>
      <w:r w:rsidR="00597483">
        <w:rPr>
          <w:rFonts w:asciiTheme="minorHAnsi" w:eastAsiaTheme="minorEastAsia" w:hAnsiTheme="minorHAnsi"/>
          <w:sz w:val="22"/>
        </w:rPr>
        <w:t>d</w:t>
      </w:r>
      <w:r w:rsidRPr="0006141B">
        <w:rPr>
          <w:rFonts w:asciiTheme="minorHAnsi" w:eastAsiaTheme="minorEastAsia" w:hAnsiTheme="minorHAnsi"/>
          <w:sz w:val="22"/>
        </w:rPr>
        <w:t>ments Rule</w:t>
      </w:r>
      <w:r w:rsidR="007B6A51" w:rsidRPr="0006141B">
        <w:rPr>
          <w:rFonts w:asciiTheme="minorHAnsi" w:eastAsiaTheme="minorEastAsia" w:hAnsiTheme="minorHAnsi"/>
          <w:sz w:val="22"/>
        </w:rPr>
        <w:t xml:space="preserve"> by May 6, 2024.</w:t>
      </w:r>
    </w:p>
    <w:p w14:paraId="1B9A98E6" w14:textId="608C40CD" w:rsidR="00E023F6" w:rsidRPr="00FB1558" w:rsidRDefault="00A86CF2" w:rsidP="00E023F6">
      <w:pPr>
        <w:pStyle w:val="ListParagraph"/>
        <w:numPr>
          <w:ilvl w:val="0"/>
          <w:numId w:val="3"/>
        </w:numPr>
        <w:spacing w:before="120" w:after="0"/>
        <w:rPr>
          <w:rFonts w:asciiTheme="minorHAnsi" w:eastAsiaTheme="minorEastAsia" w:hAnsiTheme="minorHAnsi"/>
          <w:sz w:val="22"/>
        </w:rPr>
      </w:pPr>
      <w:r>
        <w:rPr>
          <w:rFonts w:asciiTheme="minorHAnsi" w:eastAsiaTheme="minorEastAsia" w:hAnsiTheme="minorHAnsi"/>
          <w:sz w:val="22"/>
        </w:rPr>
        <w:t>In 2024, t</w:t>
      </w:r>
      <w:r w:rsidR="00E023F6">
        <w:rPr>
          <w:rFonts w:asciiTheme="minorHAnsi" w:eastAsiaTheme="minorEastAsia" w:hAnsiTheme="minorHAnsi"/>
          <w:sz w:val="22"/>
        </w:rPr>
        <w:t xml:space="preserve">he D.C. Circuit Court </w:t>
      </w:r>
      <w:r w:rsidR="00AF7C4F">
        <w:rPr>
          <w:rFonts w:asciiTheme="minorHAnsi" w:eastAsiaTheme="minorEastAsia" w:hAnsiTheme="minorHAnsi"/>
          <w:sz w:val="22"/>
        </w:rPr>
        <w:t>may</w:t>
      </w:r>
      <w:r w:rsidR="00E023F6">
        <w:rPr>
          <w:rFonts w:asciiTheme="minorHAnsi" w:eastAsiaTheme="minorEastAsia" w:hAnsiTheme="minorHAnsi"/>
          <w:sz w:val="22"/>
        </w:rPr>
        <w:t xml:space="preserve"> issue</w:t>
      </w:r>
      <w:r w:rsidR="00E023F6" w:rsidRPr="00FB1558">
        <w:rPr>
          <w:rFonts w:asciiTheme="minorHAnsi" w:eastAsiaTheme="minorEastAsia" w:hAnsiTheme="minorHAnsi"/>
          <w:sz w:val="22"/>
        </w:rPr>
        <w:t xml:space="preserve"> </w:t>
      </w:r>
      <w:r w:rsidR="00DC4436">
        <w:rPr>
          <w:rFonts w:asciiTheme="minorHAnsi" w:eastAsiaTheme="minorEastAsia" w:hAnsiTheme="minorHAnsi"/>
          <w:sz w:val="22"/>
        </w:rPr>
        <w:t xml:space="preserve">a </w:t>
      </w:r>
      <w:r w:rsidR="00E023F6" w:rsidRPr="00FB1558">
        <w:rPr>
          <w:rFonts w:asciiTheme="minorHAnsi" w:eastAsiaTheme="minorEastAsia" w:hAnsiTheme="minorHAnsi"/>
          <w:sz w:val="22"/>
        </w:rPr>
        <w:t xml:space="preserve">decision on the USWAG </w:t>
      </w:r>
      <w:r w:rsidR="008B539B">
        <w:rPr>
          <w:rFonts w:asciiTheme="minorHAnsi" w:eastAsiaTheme="minorEastAsia" w:hAnsiTheme="minorHAnsi"/>
          <w:sz w:val="22"/>
        </w:rPr>
        <w:t>petition for review</w:t>
      </w:r>
      <w:r w:rsidR="00E023F6" w:rsidRPr="00FB1558">
        <w:rPr>
          <w:rFonts w:asciiTheme="minorHAnsi" w:eastAsiaTheme="minorEastAsia" w:hAnsiTheme="minorHAnsi"/>
          <w:sz w:val="22"/>
        </w:rPr>
        <w:t xml:space="preserve"> of EPA’s January 2022 actions. </w:t>
      </w:r>
    </w:p>
    <w:p w14:paraId="20C661B6" w14:textId="38016A6B" w:rsidR="005E0497" w:rsidRPr="00FD2784" w:rsidRDefault="005E0497" w:rsidP="00C942DB">
      <w:pPr>
        <w:pStyle w:val="Heading3"/>
        <w:spacing w:before="120"/>
        <w:rPr>
          <w:b/>
          <w:bCs/>
        </w:rPr>
      </w:pPr>
      <w:bookmarkStart w:id="36" w:name="_Toc130201004"/>
      <w:r w:rsidRPr="00FD2784">
        <w:rPr>
          <w:b/>
          <w:bCs/>
          <w:sz w:val="24"/>
          <w:szCs w:val="24"/>
        </w:rPr>
        <w:t>State Coal Combustion Residuals Rule (</w:t>
      </w:r>
      <w:r w:rsidR="002241F2" w:rsidRPr="00FD2784">
        <w:rPr>
          <w:b/>
          <w:bCs/>
          <w:sz w:val="24"/>
          <w:szCs w:val="24"/>
        </w:rPr>
        <w:t>391-3-4-.10)</w:t>
      </w:r>
      <w:bookmarkEnd w:id="36"/>
      <w:r w:rsidR="00AD23E9">
        <w:rPr>
          <w:b/>
          <w:bCs/>
          <w:sz w:val="24"/>
          <w:szCs w:val="24"/>
        </w:rPr>
        <w:t xml:space="preserve"> (</w:t>
      </w:r>
      <w:r w:rsidR="00C66553">
        <w:rPr>
          <w:b/>
          <w:bCs/>
          <w:sz w:val="24"/>
          <w:szCs w:val="24"/>
        </w:rPr>
        <w:t>“Georgia CCR Rule”)</w:t>
      </w:r>
    </w:p>
    <w:p w14:paraId="03F88A14" w14:textId="1474CDEA" w:rsidR="00C37B28" w:rsidRPr="009621AE" w:rsidRDefault="00407E96" w:rsidP="00C942DB">
      <w:pPr>
        <w:spacing w:before="120" w:after="0" w:line="240" w:lineRule="auto"/>
        <w:rPr>
          <w:rFonts w:eastAsia="Calibri" w:cs="Arial"/>
          <w:color w:val="000000" w:themeColor="text1"/>
        </w:rPr>
      </w:pPr>
      <w:r>
        <w:t>I</w:t>
      </w:r>
      <w:r w:rsidR="00C37B28" w:rsidRPr="664ED54E">
        <w:t xml:space="preserve">n October 2016, the Georgia Department of Natural Resources </w:t>
      </w:r>
      <w:r w:rsidR="00C37B28">
        <w:t>(“DNR”)</w:t>
      </w:r>
      <w:r w:rsidR="00C37B28" w:rsidRPr="664ED54E">
        <w:t xml:space="preserve"> Board adopted amendments to Georgia’s Rules for Solid Waste Management pertaining to the storage and disposal of CCR. </w:t>
      </w:r>
      <w:r w:rsidR="00577D3C">
        <w:t>At the time, t</w:t>
      </w:r>
      <w:r w:rsidR="00C37B28" w:rsidRPr="664ED54E">
        <w:t>he Georgia CCR Rule acted in addition to</w:t>
      </w:r>
      <w:r w:rsidR="002E2BB9">
        <w:t>, rather than a replacement of,</w:t>
      </w:r>
      <w:r w:rsidR="00C37B28" w:rsidRPr="664ED54E">
        <w:t xml:space="preserve"> the Federal CCR Rule. It include</w:t>
      </w:r>
      <w:r w:rsidR="00C37B28">
        <w:t>d</w:t>
      </w:r>
      <w:r w:rsidR="00C37B28" w:rsidRPr="664ED54E">
        <w:t xml:space="preserve"> certain more stringent permitting, oversight</w:t>
      </w:r>
      <w:r w:rsidR="00046EF4">
        <w:t>,</w:t>
      </w:r>
      <w:r w:rsidR="00C37B28" w:rsidRPr="664ED54E">
        <w:t xml:space="preserve"> and monitoring requirements than the Federal CCR Rule, such as:</w:t>
      </w:r>
      <w:r w:rsidR="002E2BB9">
        <w:t xml:space="preserve"> </w:t>
      </w:r>
      <w:r w:rsidR="00C37B28" w:rsidRPr="002448AA">
        <w:rPr>
          <w:rFonts w:cstheme="minorHAnsi"/>
          <w:color w:val="000000" w:themeColor="text1"/>
          <w:szCs w:val="20"/>
        </w:rPr>
        <w:t>regulat</w:t>
      </w:r>
      <w:r w:rsidR="002E2BB9">
        <w:rPr>
          <w:rFonts w:cstheme="minorHAnsi"/>
          <w:color w:val="000000" w:themeColor="text1"/>
          <w:szCs w:val="20"/>
        </w:rPr>
        <w:t>ing</w:t>
      </w:r>
      <w:r w:rsidR="00C37B28" w:rsidRPr="002448AA">
        <w:rPr>
          <w:rFonts w:cstheme="minorHAnsi"/>
          <w:color w:val="000000" w:themeColor="text1"/>
          <w:szCs w:val="20"/>
        </w:rPr>
        <w:t xml:space="preserve"> all CCR landfills and ash ponds</w:t>
      </w:r>
      <w:r w:rsidR="00095217">
        <w:rPr>
          <w:rFonts w:cstheme="minorHAnsi"/>
          <w:color w:val="000000" w:themeColor="text1"/>
          <w:szCs w:val="20"/>
        </w:rPr>
        <w:t xml:space="preserve"> and </w:t>
      </w:r>
      <w:r w:rsidR="002E2BB9">
        <w:rPr>
          <w:rFonts w:cstheme="minorHAnsi"/>
          <w:color w:val="000000" w:themeColor="text1"/>
          <w:szCs w:val="20"/>
        </w:rPr>
        <w:t xml:space="preserve">requiring </w:t>
      </w:r>
      <w:r w:rsidR="00C37B28" w:rsidRPr="002E2BB9">
        <w:rPr>
          <w:rFonts w:cstheme="minorHAnsi"/>
          <w:color w:val="000000" w:themeColor="text1"/>
          <w:szCs w:val="20"/>
        </w:rPr>
        <w:t>a comprehensive permitting program</w:t>
      </w:r>
      <w:r w:rsidR="002C3881">
        <w:rPr>
          <w:rFonts w:cstheme="minorHAnsi"/>
          <w:color w:val="000000" w:themeColor="text1"/>
          <w:szCs w:val="20"/>
        </w:rPr>
        <w:t xml:space="preserve"> covering </w:t>
      </w:r>
      <w:r w:rsidR="00C37B28" w:rsidRPr="002E2BB9">
        <w:rPr>
          <w:rFonts w:cstheme="minorHAnsi"/>
          <w:color w:val="000000" w:themeColor="text1"/>
          <w:szCs w:val="20"/>
        </w:rPr>
        <w:t xml:space="preserve">CCR unit development, operation, and closure, which is approved and enforced by Georgia EPD. </w:t>
      </w:r>
      <w:r w:rsidR="00C37B28" w:rsidRPr="00095217">
        <w:rPr>
          <w:rFonts w:cstheme="minorHAnsi"/>
          <w:color w:val="000000" w:themeColor="text1"/>
          <w:szCs w:val="20"/>
        </w:rPr>
        <w:t>All existing CCR units, including ash ponds and landfills previously closed, were required to submit a CCR permit application to Georgia EPD by November 22, 2018</w:t>
      </w:r>
      <w:r w:rsidR="001D149F">
        <w:rPr>
          <w:rFonts w:cstheme="minorHAnsi"/>
          <w:color w:val="000000" w:themeColor="text1"/>
          <w:szCs w:val="20"/>
        </w:rPr>
        <w:t>.</w:t>
      </w:r>
      <w:r w:rsidR="00F1749D">
        <w:rPr>
          <w:rFonts w:cstheme="minorHAnsi"/>
          <w:color w:val="000000" w:themeColor="text1"/>
          <w:szCs w:val="20"/>
        </w:rPr>
        <w:t xml:space="preserve"> </w:t>
      </w:r>
      <w:r w:rsidR="00C37B28" w:rsidRPr="002448AA">
        <w:rPr>
          <w:rFonts w:cstheme="minorHAnsi"/>
          <w:color w:val="000000" w:themeColor="text1"/>
          <w:szCs w:val="20"/>
        </w:rPr>
        <w:t>The permitting process include</w:t>
      </w:r>
      <w:r w:rsidR="00F1749D">
        <w:rPr>
          <w:rFonts w:cstheme="minorHAnsi"/>
          <w:color w:val="000000" w:themeColor="text1"/>
          <w:szCs w:val="20"/>
        </w:rPr>
        <w:t>s</w:t>
      </w:r>
      <w:r w:rsidR="00C37B28" w:rsidRPr="002448AA">
        <w:rPr>
          <w:rFonts w:cstheme="minorHAnsi"/>
          <w:color w:val="000000" w:themeColor="text1"/>
          <w:szCs w:val="20"/>
        </w:rPr>
        <w:t xml:space="preserve"> review of the Company’s plans, engineering design, public notice, and public comment. </w:t>
      </w:r>
      <w:r w:rsidR="00C671FF" w:rsidRPr="71A0127D">
        <w:rPr>
          <w:rFonts w:eastAsia="Calibri" w:cs="Arial"/>
          <w:color w:val="000000" w:themeColor="text1"/>
        </w:rPr>
        <w:t xml:space="preserve">Georgia </w:t>
      </w:r>
      <w:r w:rsidR="00C671FF">
        <w:rPr>
          <w:rFonts w:eastAsia="Calibri" w:cs="Arial"/>
          <w:color w:val="000000" w:themeColor="text1"/>
        </w:rPr>
        <w:t xml:space="preserve">EPD updated the </w:t>
      </w:r>
      <w:r w:rsidR="009621AE">
        <w:rPr>
          <w:rFonts w:eastAsia="Calibri" w:cs="Arial"/>
          <w:color w:val="000000" w:themeColor="text1"/>
        </w:rPr>
        <w:t>state</w:t>
      </w:r>
      <w:r w:rsidR="00C671FF">
        <w:rPr>
          <w:rFonts w:eastAsia="Calibri" w:cs="Arial"/>
          <w:color w:val="000000" w:themeColor="text1"/>
        </w:rPr>
        <w:t xml:space="preserve"> CCR Rule in March 2018 and again in February 2022 to align with relevant Federal CCR Rule revisions</w:t>
      </w:r>
      <w:r w:rsidR="00C671FF" w:rsidRPr="00331785">
        <w:rPr>
          <w:rFonts w:eastAsia="Calibri" w:cs="Arial"/>
          <w:color w:val="000000" w:themeColor="text1"/>
        </w:rPr>
        <w:t>.</w:t>
      </w:r>
    </w:p>
    <w:p w14:paraId="286C37A0" w14:textId="08A1EB47" w:rsidR="00AD3FE2" w:rsidRPr="00FD2784" w:rsidRDefault="00AD3FE2" w:rsidP="00C942DB">
      <w:pPr>
        <w:pStyle w:val="Heading3"/>
        <w:spacing w:before="120"/>
        <w:rPr>
          <w:b/>
          <w:bCs/>
          <w:sz w:val="24"/>
          <w:szCs w:val="24"/>
        </w:rPr>
      </w:pPr>
      <w:bookmarkStart w:id="37" w:name="_Toc130201005"/>
      <w:r w:rsidRPr="00FD2784">
        <w:rPr>
          <w:b/>
          <w:bCs/>
          <w:sz w:val="24"/>
          <w:szCs w:val="24"/>
        </w:rPr>
        <w:t>Water Infrastructure Improvements for the Nation Act</w:t>
      </w:r>
      <w:r w:rsidR="00182008" w:rsidRPr="00FD2784">
        <w:rPr>
          <w:b/>
          <w:bCs/>
          <w:sz w:val="24"/>
          <w:szCs w:val="24"/>
        </w:rPr>
        <w:t xml:space="preserve"> (</w:t>
      </w:r>
      <w:r w:rsidR="007C14E5" w:rsidRPr="00FD2784">
        <w:rPr>
          <w:b/>
          <w:bCs/>
          <w:sz w:val="24"/>
          <w:szCs w:val="24"/>
        </w:rPr>
        <w:t xml:space="preserve">WIIN Act, </w:t>
      </w:r>
      <w:r w:rsidR="00182008" w:rsidRPr="00FD2784">
        <w:rPr>
          <w:b/>
          <w:bCs/>
          <w:sz w:val="24"/>
          <w:szCs w:val="24"/>
        </w:rPr>
        <w:t>Section 2301)</w:t>
      </w:r>
      <w:bookmarkEnd w:id="37"/>
    </w:p>
    <w:p w14:paraId="4C372FFC" w14:textId="5B024E03" w:rsidR="00FA3CCB" w:rsidRPr="00DB7156" w:rsidRDefault="00FA3CCB" w:rsidP="00C942DB">
      <w:pPr>
        <w:spacing w:before="120" w:after="0" w:line="240" w:lineRule="auto"/>
      </w:pPr>
      <w:r w:rsidRPr="00DB7156">
        <w:t xml:space="preserve">In December 2016, the </w:t>
      </w:r>
      <w:r w:rsidR="00145EC4" w:rsidRPr="00145EC4">
        <w:t xml:space="preserve">Water Infrastructure Improvements for the Nation Act </w:t>
      </w:r>
      <w:r w:rsidR="00145EC4">
        <w:t>(“</w:t>
      </w:r>
      <w:r w:rsidRPr="00DB7156">
        <w:t>WIIN</w:t>
      </w:r>
      <w:r w:rsidR="00296465">
        <w:t xml:space="preserve"> Act</w:t>
      </w:r>
      <w:r w:rsidR="00145EC4">
        <w:t>”)</w:t>
      </w:r>
      <w:r w:rsidRPr="00DB7156">
        <w:t xml:space="preserve"> was approved</w:t>
      </w:r>
      <w:r>
        <w:t xml:space="preserve"> by the U.S. Congress</w:t>
      </w:r>
      <w:r w:rsidR="00F278DC">
        <w:t xml:space="preserve">, including a section that amends a portion of </w:t>
      </w:r>
      <w:r w:rsidR="00362928" w:rsidRPr="00362928">
        <w:t xml:space="preserve">RCRA to </w:t>
      </w:r>
      <w:r w:rsidR="009C1555">
        <w:t xml:space="preserve">allow states to submit their </w:t>
      </w:r>
      <w:r w:rsidR="00362928" w:rsidRPr="00362928">
        <w:lastRenderedPageBreak/>
        <w:t>CCR permit programs</w:t>
      </w:r>
      <w:r w:rsidR="009C1555">
        <w:t xml:space="preserve"> for EPA approval</w:t>
      </w:r>
      <w:r w:rsidR="00307551">
        <w:t xml:space="preserve"> and </w:t>
      </w:r>
      <w:r w:rsidR="00BD22A7">
        <w:t xml:space="preserve">subsequent </w:t>
      </w:r>
      <w:r w:rsidR="00307551">
        <w:t>periodic review</w:t>
      </w:r>
      <w:r w:rsidR="00E504B1">
        <w:t xml:space="preserve"> based on various defined triggers</w:t>
      </w:r>
      <w:r w:rsidRPr="00DB7156">
        <w:t>. An EPA-approved state permit program provides more regulatory certainty and reduces the burden of overlapping regulations</w:t>
      </w:r>
      <w:r w:rsidRPr="664ED54E">
        <w:t xml:space="preserve"> </w:t>
      </w:r>
      <w:r w:rsidR="009D7B95">
        <w:t>since it would authorize states to enforce state regulations for CCR units and operate a permitting program in lieu of the federal rule</w:t>
      </w:r>
      <w:r w:rsidRPr="664ED54E">
        <w:t>.</w:t>
      </w:r>
      <w:r w:rsidRPr="00DB7156">
        <w:t xml:space="preserve"> In March 2017, Georgia EPD submitted Georgia’s CCR Rule for EPA’s review</w:t>
      </w:r>
      <w:r>
        <w:t xml:space="preserve"> and </w:t>
      </w:r>
      <w:r w:rsidRPr="664ED54E">
        <w:t xml:space="preserve">approval as a “partial” permit program, meaning that EPD did not seek approval of certain </w:t>
      </w:r>
      <w:r>
        <w:t>elements</w:t>
      </w:r>
      <w:r w:rsidRPr="664ED54E">
        <w:t xml:space="preserve"> of the Federal CCR Rule.  </w:t>
      </w:r>
    </w:p>
    <w:p w14:paraId="7C38A4EB" w14:textId="6D1E7AB0" w:rsidR="00FA3CCB" w:rsidRPr="00DB7156" w:rsidRDefault="00FA3CCB" w:rsidP="00C942DB">
      <w:pPr>
        <w:spacing w:before="120" w:after="0" w:line="240" w:lineRule="auto"/>
      </w:pPr>
      <w:r>
        <w:t xml:space="preserve">In June 2019, Georgia received notice from EPA that their application was complete, officially initiating the 180-day review and approval process. In January 2020, EPA </w:t>
      </w:r>
      <w:r w:rsidR="00FD20AC">
        <w:t>finalized a</w:t>
      </w:r>
      <w:r>
        <w:t xml:space="preserve"> partial approval of Georgia’s CCR permit program</w:t>
      </w:r>
      <w:r w:rsidR="005D0D53">
        <w:t xml:space="preserve">, </w:t>
      </w:r>
      <w:r w:rsidR="005D0D53" w:rsidRPr="08F2E814">
        <w:rPr>
          <w:lang w:val="en"/>
        </w:rPr>
        <w:t xml:space="preserve">the second </w:t>
      </w:r>
      <w:r w:rsidR="005D0D53">
        <w:rPr>
          <w:lang w:val="en"/>
        </w:rPr>
        <w:t>of only three</w:t>
      </w:r>
      <w:r w:rsidR="005D0D53" w:rsidRPr="08F2E814">
        <w:rPr>
          <w:lang w:val="en"/>
        </w:rPr>
        <w:t xml:space="preserve"> state approval</w:t>
      </w:r>
      <w:r w:rsidR="005D0D53">
        <w:rPr>
          <w:lang w:val="en"/>
        </w:rPr>
        <w:t>s to-date</w:t>
      </w:r>
      <w:r>
        <w:t xml:space="preserve">. Georgia’s program was partially approved because the Georgia Rules for Solid Waste Management </w:t>
      </w:r>
      <w:r w:rsidR="004E30D6">
        <w:t>(“Georgia CCR Rule”)</w:t>
      </w:r>
      <w:r>
        <w:t xml:space="preserve"> did not include provisions to cover the applicability of requirements for endangered species. Georgia's partial program approval allows the Georgia EPD to enforce rules promulgated under its solid waste statute related to CCR activities, as well as to issue permits and to enforce compliance. </w:t>
      </w:r>
    </w:p>
    <w:p w14:paraId="7C92A058" w14:textId="33F94724" w:rsidR="00374B82" w:rsidRPr="008229BF" w:rsidRDefault="00374B82" w:rsidP="00C942DB">
      <w:pPr>
        <w:spacing w:before="120" w:after="0" w:line="240" w:lineRule="auto"/>
        <w:rPr>
          <w:b/>
          <w:bCs/>
        </w:rPr>
      </w:pPr>
      <w:r>
        <w:t xml:space="preserve">In February 2020, EPA </w:t>
      </w:r>
      <w:r w:rsidR="00E829BF">
        <w:t>issued a proposed rule to establish a</w:t>
      </w:r>
      <w:r>
        <w:t xml:space="preserve"> Federal CCR Permit Program</w:t>
      </w:r>
      <w:r w:rsidR="00D524CE">
        <w:t xml:space="preserve"> for </w:t>
      </w:r>
      <w:r>
        <w:t xml:space="preserve">states that are not actively pursuing their own state CCR permit program for approval and to cover specific rules sections that are not included in state programs with partial approval.  </w:t>
      </w:r>
    </w:p>
    <w:p w14:paraId="79249921" w14:textId="4F5EAEBD" w:rsidR="00A73B71" w:rsidRDefault="00FD2784" w:rsidP="00C942DB">
      <w:pPr>
        <w:spacing w:before="120" w:after="0" w:line="240" w:lineRule="auto"/>
        <w:rPr>
          <w:b/>
          <w:bCs/>
        </w:rPr>
      </w:pPr>
      <w:r>
        <w:rPr>
          <w:b/>
          <w:bCs/>
        </w:rPr>
        <w:t>New</w:t>
      </w:r>
      <w:r w:rsidR="00AC7EB4" w:rsidRPr="008229BF">
        <w:rPr>
          <w:b/>
          <w:bCs/>
        </w:rPr>
        <w:t xml:space="preserve"> Regulatory Updates</w:t>
      </w:r>
    </w:p>
    <w:p w14:paraId="2E9BE57E" w14:textId="5241753E" w:rsidR="00AC7EB4" w:rsidRPr="00A35111" w:rsidRDefault="00AC7EB4" w:rsidP="00BF63EF">
      <w:pPr>
        <w:pStyle w:val="ListParagraph"/>
        <w:numPr>
          <w:ilvl w:val="0"/>
          <w:numId w:val="3"/>
        </w:numPr>
        <w:spacing w:after="0"/>
      </w:pPr>
      <w:r>
        <w:rPr>
          <w:rFonts w:asciiTheme="minorHAnsi" w:eastAsiaTheme="minorEastAsia" w:hAnsiTheme="minorHAnsi"/>
          <w:sz w:val="22"/>
        </w:rPr>
        <w:t xml:space="preserve">In </w:t>
      </w:r>
      <w:r w:rsidR="007C6242">
        <w:rPr>
          <w:rFonts w:asciiTheme="minorHAnsi" w:eastAsiaTheme="minorEastAsia" w:hAnsiTheme="minorHAnsi"/>
          <w:sz w:val="22"/>
        </w:rPr>
        <w:t>2026</w:t>
      </w:r>
      <w:r>
        <w:rPr>
          <w:rFonts w:asciiTheme="minorHAnsi" w:eastAsiaTheme="minorEastAsia" w:hAnsiTheme="minorHAnsi"/>
          <w:sz w:val="22"/>
        </w:rPr>
        <w:t>, EPA is expected to finalize</w:t>
      </w:r>
      <w:r w:rsidR="008229BF">
        <w:rPr>
          <w:rFonts w:asciiTheme="minorHAnsi" w:eastAsiaTheme="minorEastAsia" w:hAnsiTheme="minorHAnsi"/>
          <w:sz w:val="22"/>
        </w:rPr>
        <w:t xml:space="preserve"> the Federal CCR Permit Program</w:t>
      </w:r>
      <w:r w:rsidR="00662346">
        <w:rPr>
          <w:rFonts w:asciiTheme="minorHAnsi" w:eastAsiaTheme="minorEastAsia" w:hAnsiTheme="minorHAnsi"/>
          <w:sz w:val="22"/>
        </w:rPr>
        <w:t>, representing a significant delay in the rulemaking schedule</w:t>
      </w:r>
      <w:r w:rsidR="008229BF">
        <w:rPr>
          <w:rFonts w:asciiTheme="minorHAnsi" w:eastAsiaTheme="minorEastAsia" w:hAnsiTheme="minorHAnsi"/>
          <w:sz w:val="22"/>
        </w:rPr>
        <w:t xml:space="preserve">. </w:t>
      </w:r>
      <w:r w:rsidR="00032585">
        <w:rPr>
          <w:rFonts w:asciiTheme="minorHAnsi" w:eastAsiaTheme="minorEastAsia" w:hAnsiTheme="minorHAnsi"/>
          <w:sz w:val="22"/>
        </w:rPr>
        <w:t>Because</w:t>
      </w:r>
      <w:r w:rsidR="00526621">
        <w:rPr>
          <w:rFonts w:asciiTheme="minorHAnsi" w:eastAsiaTheme="minorEastAsia" w:hAnsiTheme="minorHAnsi"/>
          <w:sz w:val="22"/>
        </w:rPr>
        <w:t xml:space="preserve"> Georgia EPD </w:t>
      </w:r>
      <w:r w:rsidR="00032585">
        <w:rPr>
          <w:rFonts w:asciiTheme="minorHAnsi" w:eastAsiaTheme="minorEastAsia" w:hAnsiTheme="minorHAnsi"/>
          <w:sz w:val="22"/>
        </w:rPr>
        <w:t xml:space="preserve">did not </w:t>
      </w:r>
      <w:r w:rsidR="00526621">
        <w:rPr>
          <w:rFonts w:asciiTheme="minorHAnsi" w:eastAsiaTheme="minorEastAsia" w:hAnsiTheme="minorHAnsi"/>
          <w:sz w:val="22"/>
        </w:rPr>
        <w:t xml:space="preserve">incorporate the endangered species review requirements in the </w:t>
      </w:r>
      <w:r w:rsidR="00E23A5A">
        <w:rPr>
          <w:rFonts w:asciiTheme="minorHAnsi" w:eastAsiaTheme="minorEastAsia" w:hAnsiTheme="minorHAnsi"/>
          <w:sz w:val="22"/>
        </w:rPr>
        <w:t>State</w:t>
      </w:r>
      <w:r w:rsidR="00C470E6">
        <w:rPr>
          <w:rFonts w:asciiTheme="minorHAnsi" w:eastAsiaTheme="minorEastAsia" w:hAnsiTheme="minorHAnsi"/>
          <w:sz w:val="22"/>
        </w:rPr>
        <w:t xml:space="preserve"> CCR Rule, </w:t>
      </w:r>
      <w:r w:rsidR="00E30660">
        <w:rPr>
          <w:rFonts w:asciiTheme="minorHAnsi" w:eastAsiaTheme="minorEastAsia" w:hAnsiTheme="minorHAnsi"/>
          <w:sz w:val="22"/>
        </w:rPr>
        <w:t xml:space="preserve">when finalized </w:t>
      </w:r>
      <w:r w:rsidR="00C470E6">
        <w:rPr>
          <w:rFonts w:asciiTheme="minorHAnsi" w:eastAsiaTheme="minorEastAsia" w:hAnsiTheme="minorHAnsi"/>
          <w:sz w:val="22"/>
        </w:rPr>
        <w:t xml:space="preserve">the Federal CCR Permit Program </w:t>
      </w:r>
      <w:r w:rsidR="0013275B">
        <w:rPr>
          <w:rFonts w:asciiTheme="minorHAnsi" w:eastAsiaTheme="minorEastAsia" w:hAnsiTheme="minorHAnsi"/>
          <w:sz w:val="22"/>
        </w:rPr>
        <w:t xml:space="preserve">may </w:t>
      </w:r>
      <w:r w:rsidR="00C470E6">
        <w:rPr>
          <w:rFonts w:asciiTheme="minorHAnsi" w:eastAsiaTheme="minorEastAsia" w:hAnsiTheme="minorHAnsi"/>
          <w:sz w:val="22"/>
        </w:rPr>
        <w:t xml:space="preserve">apply in Georgia for that </w:t>
      </w:r>
      <w:r w:rsidR="007C3016">
        <w:rPr>
          <w:rFonts w:asciiTheme="minorHAnsi" w:eastAsiaTheme="minorEastAsia" w:hAnsiTheme="minorHAnsi"/>
          <w:sz w:val="22"/>
        </w:rPr>
        <w:t>portion of the rule.</w:t>
      </w:r>
    </w:p>
    <w:p w14:paraId="7B957357" w14:textId="18602F96" w:rsidR="00257E7C" w:rsidRPr="00E949FD" w:rsidRDefault="00E949FD" w:rsidP="00C942DB">
      <w:pPr>
        <w:spacing w:before="120" w:after="0" w:line="240" w:lineRule="auto"/>
        <w:rPr>
          <w:rFonts w:asciiTheme="majorHAnsi" w:eastAsiaTheme="majorEastAsia" w:hAnsiTheme="majorHAnsi" w:cstheme="majorBidi"/>
          <w:b/>
          <w:bCs/>
          <w:color w:val="2F5496" w:themeColor="accent1" w:themeShade="BF"/>
          <w:sz w:val="24"/>
          <w:szCs w:val="24"/>
          <w:u w:val="single"/>
        </w:rPr>
      </w:pPr>
      <w:r>
        <w:rPr>
          <w:rFonts w:asciiTheme="majorHAnsi" w:eastAsiaTheme="majorEastAsia" w:hAnsiTheme="majorHAnsi" w:cstheme="majorBidi"/>
          <w:b/>
          <w:bCs/>
          <w:color w:val="2F5496" w:themeColor="accent1" w:themeShade="BF"/>
          <w:sz w:val="24"/>
          <w:szCs w:val="24"/>
          <w:u w:val="single"/>
        </w:rPr>
        <w:t>CCR</w:t>
      </w:r>
      <w:r w:rsidRPr="00840D0F">
        <w:rPr>
          <w:rFonts w:asciiTheme="majorHAnsi" w:eastAsiaTheme="majorEastAsia" w:hAnsiTheme="majorHAnsi" w:cstheme="majorBidi"/>
          <w:b/>
          <w:bCs/>
          <w:color w:val="2F5496" w:themeColor="accent1" w:themeShade="BF"/>
          <w:sz w:val="24"/>
          <w:szCs w:val="24"/>
          <w:u w:val="single"/>
        </w:rPr>
        <w:t xml:space="preserve"> Compliance Strategy </w:t>
      </w:r>
    </w:p>
    <w:p w14:paraId="60955496" w14:textId="60FB650E" w:rsidR="00874724" w:rsidRPr="00564B9F" w:rsidRDefault="000B3A81" w:rsidP="00C942DB">
      <w:pPr>
        <w:spacing w:before="120" w:after="0" w:line="240" w:lineRule="auto"/>
        <w:rPr>
          <w:lang w:val="en"/>
        </w:rPr>
      </w:pPr>
      <w:r w:rsidRPr="08F2E814">
        <w:rPr>
          <w:lang w:val="en"/>
        </w:rPr>
        <w:t>Georgia Power’s ash pond closure plans and</w:t>
      </w:r>
      <w:r w:rsidR="00D74103">
        <w:rPr>
          <w:lang w:val="en"/>
        </w:rPr>
        <w:t xml:space="preserve"> CCR unit</w:t>
      </w:r>
      <w:r w:rsidRPr="08F2E814">
        <w:rPr>
          <w:lang w:val="en"/>
        </w:rPr>
        <w:t xml:space="preserve"> compliance strategy are designed to comply with</w:t>
      </w:r>
      <w:r w:rsidR="00373D1C">
        <w:rPr>
          <w:lang w:val="en"/>
        </w:rPr>
        <w:t xml:space="preserve"> both</w:t>
      </w:r>
      <w:r w:rsidRPr="08F2E814">
        <w:rPr>
          <w:lang w:val="en"/>
        </w:rPr>
        <w:t xml:space="preserve"> the Federal CCR Rule</w:t>
      </w:r>
      <w:r w:rsidR="00373D1C">
        <w:rPr>
          <w:lang w:val="en"/>
        </w:rPr>
        <w:t xml:space="preserve"> and </w:t>
      </w:r>
      <w:r w:rsidRPr="08F2E814">
        <w:rPr>
          <w:lang w:val="en"/>
        </w:rPr>
        <w:t xml:space="preserve">the Georgia CCR Rule. </w:t>
      </w:r>
      <w:r w:rsidR="001B7CD9" w:rsidRPr="001B7CD9">
        <w:rPr>
          <w:color w:val="171717" w:themeColor="background2" w:themeShade="1A"/>
        </w:rPr>
        <w:t xml:space="preserve"> </w:t>
      </w:r>
      <w:r w:rsidR="001B7CD9">
        <w:rPr>
          <w:color w:val="171717" w:themeColor="background2" w:themeShade="1A"/>
        </w:rPr>
        <w:t xml:space="preserve">The </w:t>
      </w:r>
      <w:r w:rsidR="001B7CD9" w:rsidRPr="0084296F">
        <w:rPr>
          <w:lang w:val="en"/>
        </w:rPr>
        <w:t>Company</w:t>
      </w:r>
      <w:r w:rsidR="001B7CD9">
        <w:rPr>
          <w:lang w:val="en"/>
        </w:rPr>
        <w:t xml:space="preserve"> </w:t>
      </w:r>
      <w:r w:rsidR="001B7CD9" w:rsidRPr="0084296F">
        <w:rPr>
          <w:lang w:val="en"/>
        </w:rPr>
        <w:t>ceas</w:t>
      </w:r>
      <w:r w:rsidR="001B7CD9">
        <w:rPr>
          <w:lang w:val="en"/>
        </w:rPr>
        <w:t>ed</w:t>
      </w:r>
      <w:r w:rsidR="001B7CD9" w:rsidRPr="0084296F">
        <w:rPr>
          <w:lang w:val="en"/>
        </w:rPr>
        <w:t xml:space="preserve"> placement of coal ash in </w:t>
      </w:r>
      <w:r w:rsidR="001B7CD9">
        <w:rPr>
          <w:lang w:val="en"/>
        </w:rPr>
        <w:t xml:space="preserve">all </w:t>
      </w:r>
      <w:r w:rsidR="001B7CD9" w:rsidRPr="0084296F">
        <w:rPr>
          <w:lang w:val="en"/>
        </w:rPr>
        <w:t>ash ponds in 2019</w:t>
      </w:r>
      <w:r w:rsidR="001B7CD9">
        <w:rPr>
          <w:lang w:val="en"/>
        </w:rPr>
        <w:t>, and the CCR units are in various stages of operation, construction, and closure.</w:t>
      </w:r>
      <w:r w:rsidR="001B7CD9" w:rsidDel="00F63A4D">
        <w:rPr>
          <w:lang w:val="en"/>
        </w:rPr>
        <w:t xml:space="preserve"> </w:t>
      </w:r>
      <w:r w:rsidR="0098106C">
        <w:rPr>
          <w:lang w:val="en"/>
        </w:rPr>
        <w:t xml:space="preserve">Under the requirement in </w:t>
      </w:r>
      <w:r w:rsidR="006138D9" w:rsidRPr="00564B9F">
        <w:rPr>
          <w:lang w:val="en"/>
        </w:rPr>
        <w:t xml:space="preserve">both </w:t>
      </w:r>
      <w:r w:rsidR="00033FB9">
        <w:rPr>
          <w:lang w:val="en"/>
        </w:rPr>
        <w:t xml:space="preserve">the federal and state </w:t>
      </w:r>
      <w:r w:rsidR="007B1AA1">
        <w:rPr>
          <w:lang w:val="en"/>
        </w:rPr>
        <w:t xml:space="preserve">rules </w:t>
      </w:r>
      <w:r w:rsidR="006138D9" w:rsidRPr="00564B9F">
        <w:rPr>
          <w:lang w:val="en"/>
        </w:rPr>
        <w:t>to maintain a publicly available website of CCR compliance documents and data</w:t>
      </w:r>
      <w:r w:rsidR="003B25FE">
        <w:rPr>
          <w:lang w:val="en"/>
        </w:rPr>
        <w:t>,</w:t>
      </w:r>
      <w:r w:rsidR="006138D9" w:rsidRPr="00564B9F">
        <w:rPr>
          <w:lang w:val="en"/>
        </w:rPr>
        <w:t xml:space="preserve"> </w:t>
      </w:r>
      <w:r w:rsidR="003B25FE">
        <w:rPr>
          <w:lang w:val="en"/>
        </w:rPr>
        <w:t xml:space="preserve">the Company </w:t>
      </w:r>
      <w:r w:rsidR="00B252B1">
        <w:rPr>
          <w:lang w:val="en"/>
        </w:rPr>
        <w:t>website</w:t>
      </w:r>
      <w:r w:rsidR="00697A09">
        <w:rPr>
          <w:rStyle w:val="FootnoteReference"/>
          <w:lang w:val="en"/>
        </w:rPr>
        <w:footnoteReference w:id="2"/>
      </w:r>
      <w:r w:rsidR="00B252B1">
        <w:rPr>
          <w:lang w:val="en"/>
        </w:rPr>
        <w:t xml:space="preserve"> includes detailed information for each CCR unit, </w:t>
      </w:r>
      <w:r w:rsidR="006C7743">
        <w:rPr>
          <w:lang w:val="en"/>
        </w:rPr>
        <w:t xml:space="preserve">such as </w:t>
      </w:r>
      <w:r w:rsidR="00B252B1">
        <w:rPr>
          <w:lang w:val="en"/>
        </w:rPr>
        <w:t xml:space="preserve">permit documents, </w:t>
      </w:r>
      <w:r w:rsidR="006C7743">
        <w:rPr>
          <w:lang w:val="en"/>
        </w:rPr>
        <w:t xml:space="preserve">dewatering plans, groundwater monitoring data, and more. </w:t>
      </w:r>
      <w:r w:rsidR="0039368B">
        <w:rPr>
          <w:bCs/>
          <w:iCs/>
        </w:rPr>
        <w:t>G</w:t>
      </w:r>
      <w:r w:rsidR="0039368B" w:rsidRPr="002E33D7">
        <w:t>eorgia</w:t>
      </w:r>
      <w:r w:rsidR="0039368B">
        <w:t xml:space="preserve"> i</w:t>
      </w:r>
      <w:r w:rsidR="0039368B" w:rsidRPr="002E33D7">
        <w:t xml:space="preserve">s </w:t>
      </w:r>
      <w:r w:rsidR="0039368B">
        <w:t xml:space="preserve">unique in that its state </w:t>
      </w:r>
      <w:r w:rsidR="0039368B" w:rsidRPr="002E33D7">
        <w:t xml:space="preserve">CCR program </w:t>
      </w:r>
      <w:r w:rsidR="0039368B">
        <w:t>is more</w:t>
      </w:r>
      <w:r w:rsidR="0039368B" w:rsidDel="00800F64">
        <w:t xml:space="preserve"> </w:t>
      </w:r>
      <w:r w:rsidR="0039368B">
        <w:t xml:space="preserve">comprehensive than </w:t>
      </w:r>
      <w:r w:rsidR="0039368B" w:rsidRPr="002E33D7">
        <w:t xml:space="preserve">the current federal program </w:t>
      </w:r>
      <w:r w:rsidR="0039368B">
        <w:t xml:space="preserve">and </w:t>
      </w:r>
      <w:r w:rsidR="0039368B" w:rsidRPr="007C0D12">
        <w:t>regulates</w:t>
      </w:r>
      <w:r w:rsidR="0039368B">
        <w:t xml:space="preserve"> CCR </w:t>
      </w:r>
      <w:r w:rsidR="0039368B" w:rsidRPr="002E33D7">
        <w:t xml:space="preserve">units </w:t>
      </w:r>
      <w:r w:rsidR="0039368B">
        <w:t>at existing and former generation facilities</w:t>
      </w:r>
      <w:r w:rsidR="0039368B" w:rsidRPr="002E33D7">
        <w:t>.</w:t>
      </w:r>
      <w:r w:rsidR="0039368B">
        <w:t xml:space="preserve"> </w:t>
      </w:r>
      <w:r w:rsidR="00717919">
        <w:t xml:space="preserve">If </w:t>
      </w:r>
      <w:r w:rsidR="00791E0D">
        <w:rPr>
          <w:lang w:val="en"/>
        </w:rPr>
        <w:t xml:space="preserve">the </w:t>
      </w:r>
      <w:r w:rsidR="00877896">
        <w:rPr>
          <w:lang w:val="en"/>
        </w:rPr>
        <w:t>EPA’s Legacy Surface Impoundments Rule</w:t>
      </w:r>
      <w:r w:rsidR="00717919">
        <w:rPr>
          <w:lang w:val="en"/>
        </w:rPr>
        <w:t xml:space="preserve"> is finalized as proposed</w:t>
      </w:r>
      <w:r w:rsidR="008C44A1">
        <w:rPr>
          <w:lang w:val="en"/>
        </w:rPr>
        <w:t xml:space="preserve">, </w:t>
      </w:r>
      <w:r w:rsidR="00392A5F">
        <w:rPr>
          <w:lang w:val="en"/>
        </w:rPr>
        <w:t xml:space="preserve">certain CCR units currently </w:t>
      </w:r>
      <w:r w:rsidR="00C75134">
        <w:rPr>
          <w:lang w:val="en"/>
        </w:rPr>
        <w:t xml:space="preserve">subject to the state rule </w:t>
      </w:r>
      <w:r w:rsidR="009B2D72">
        <w:rPr>
          <w:lang w:val="en"/>
        </w:rPr>
        <w:t>w</w:t>
      </w:r>
      <w:r w:rsidR="00392A5F">
        <w:rPr>
          <w:lang w:val="en"/>
        </w:rPr>
        <w:t xml:space="preserve">ould </w:t>
      </w:r>
      <w:r w:rsidR="009B2D72">
        <w:rPr>
          <w:lang w:val="en"/>
        </w:rPr>
        <w:t xml:space="preserve">also </w:t>
      </w:r>
      <w:r w:rsidR="00392A5F">
        <w:rPr>
          <w:lang w:val="en"/>
        </w:rPr>
        <w:t xml:space="preserve">become subject to </w:t>
      </w:r>
      <w:r w:rsidR="00717919">
        <w:rPr>
          <w:lang w:val="en"/>
        </w:rPr>
        <w:t xml:space="preserve">the </w:t>
      </w:r>
      <w:r w:rsidR="00392A5F">
        <w:rPr>
          <w:lang w:val="en"/>
        </w:rPr>
        <w:t xml:space="preserve">federal </w:t>
      </w:r>
      <w:r w:rsidR="00717919">
        <w:rPr>
          <w:lang w:val="en"/>
        </w:rPr>
        <w:t>rule</w:t>
      </w:r>
      <w:r w:rsidR="00392A5F">
        <w:rPr>
          <w:lang w:val="en"/>
        </w:rPr>
        <w:t>.</w:t>
      </w:r>
      <w:r w:rsidR="009B2D72">
        <w:rPr>
          <w:lang w:val="en"/>
        </w:rPr>
        <w:t xml:space="preserve"> </w:t>
      </w:r>
      <w:r w:rsidR="00E07420" w:rsidRPr="00E07420">
        <w:rPr>
          <w:lang w:val="en"/>
        </w:rPr>
        <w:t xml:space="preserve">This duplicative regulation would persist until </w:t>
      </w:r>
      <w:r w:rsidR="002A5F76">
        <w:rPr>
          <w:lang w:val="en"/>
        </w:rPr>
        <w:t xml:space="preserve">and unless </w:t>
      </w:r>
      <w:r w:rsidR="00E07420" w:rsidRPr="00E07420">
        <w:rPr>
          <w:lang w:val="en"/>
        </w:rPr>
        <w:t xml:space="preserve">EPA approves </w:t>
      </w:r>
      <w:r w:rsidR="002A5F76">
        <w:rPr>
          <w:lang w:val="en"/>
        </w:rPr>
        <w:t>the Georgia</w:t>
      </w:r>
      <w:r w:rsidR="00E07420" w:rsidRPr="00E07420">
        <w:rPr>
          <w:lang w:val="en"/>
        </w:rPr>
        <w:t xml:space="preserve"> regulations </w:t>
      </w:r>
      <w:r w:rsidR="00197081">
        <w:rPr>
          <w:lang w:val="en"/>
        </w:rPr>
        <w:t>pertaining to those CCR units</w:t>
      </w:r>
      <w:r w:rsidR="00E07420" w:rsidRPr="00E07420">
        <w:rPr>
          <w:lang w:val="en"/>
        </w:rPr>
        <w:t>.</w:t>
      </w:r>
      <w:r w:rsidR="00E07420">
        <w:rPr>
          <w:lang w:val="en"/>
        </w:rPr>
        <w:t xml:space="preserve"> </w:t>
      </w:r>
      <w:r w:rsidR="00197081">
        <w:rPr>
          <w:lang w:val="en"/>
        </w:rPr>
        <w:t>T</w:t>
      </w:r>
      <w:r w:rsidR="00183054">
        <w:rPr>
          <w:lang w:val="en"/>
        </w:rPr>
        <w:t xml:space="preserve">he proposed </w:t>
      </w:r>
      <w:r w:rsidR="002A5F76">
        <w:rPr>
          <w:lang w:val="en"/>
        </w:rPr>
        <w:t xml:space="preserve">Legacy </w:t>
      </w:r>
      <w:r w:rsidR="00183054">
        <w:rPr>
          <w:lang w:val="en"/>
        </w:rPr>
        <w:t xml:space="preserve">rule </w:t>
      </w:r>
      <w:r w:rsidR="006022DC">
        <w:rPr>
          <w:lang w:val="en"/>
        </w:rPr>
        <w:t xml:space="preserve">would </w:t>
      </w:r>
      <w:r w:rsidR="00197081">
        <w:rPr>
          <w:lang w:val="en"/>
        </w:rPr>
        <w:t xml:space="preserve">also </w:t>
      </w:r>
      <w:r w:rsidR="006022DC">
        <w:rPr>
          <w:lang w:val="en"/>
        </w:rPr>
        <w:t xml:space="preserve">require </w:t>
      </w:r>
      <w:r w:rsidR="00877896">
        <w:rPr>
          <w:lang w:val="en"/>
        </w:rPr>
        <w:t xml:space="preserve">near-term work to </w:t>
      </w:r>
      <w:r w:rsidR="00877896">
        <w:t>perform facility evaluations</w:t>
      </w:r>
      <w:r w:rsidR="005650CE">
        <w:t xml:space="preserve"> and </w:t>
      </w:r>
      <w:r w:rsidR="00877896">
        <w:t>physical inspection</w:t>
      </w:r>
      <w:r w:rsidR="00E42291">
        <w:t>s</w:t>
      </w:r>
      <w:r w:rsidR="00877896">
        <w:t xml:space="preserve"> within 3 months </w:t>
      </w:r>
      <w:r w:rsidR="005650CE">
        <w:t xml:space="preserve">of </w:t>
      </w:r>
      <w:r w:rsidR="00877896">
        <w:t xml:space="preserve">the </w:t>
      </w:r>
      <w:r w:rsidR="00FE4B6C">
        <w:t xml:space="preserve">final rule </w:t>
      </w:r>
      <w:r w:rsidR="00877896">
        <w:t>effective date</w:t>
      </w:r>
      <w:r w:rsidR="00AD0A82">
        <w:t xml:space="preserve"> to identify the presence of CCRMUs</w:t>
      </w:r>
      <w:r w:rsidR="00650F0E">
        <w:t xml:space="preserve"> that </w:t>
      </w:r>
      <w:r w:rsidR="00DD216F">
        <w:t>are proposed</w:t>
      </w:r>
      <w:r w:rsidR="001106EE">
        <w:t xml:space="preserve"> to </w:t>
      </w:r>
      <w:r w:rsidR="00650F0E">
        <w:t>be subject to</w:t>
      </w:r>
      <w:r w:rsidR="001106EE">
        <w:t xml:space="preserve"> the </w:t>
      </w:r>
      <w:r w:rsidR="00DD216F">
        <w:t>CCR program</w:t>
      </w:r>
      <w:r w:rsidR="00877896">
        <w:t>.</w:t>
      </w:r>
      <w:r w:rsidR="006022DC">
        <w:t xml:space="preserve"> </w:t>
      </w:r>
      <w:r w:rsidR="00F75DF7">
        <w:t xml:space="preserve">The Company will evaluate the </w:t>
      </w:r>
      <w:r w:rsidR="00434C7C">
        <w:t xml:space="preserve">any considerations and impacts </w:t>
      </w:r>
      <w:r w:rsidR="00BD67E8">
        <w:t xml:space="preserve">when the final </w:t>
      </w:r>
      <w:r w:rsidR="00F75DF7">
        <w:t>Legacy Surface Impoundments Rule</w:t>
      </w:r>
      <w:r w:rsidR="00434C7C">
        <w:t xml:space="preserve"> is issued.</w:t>
      </w:r>
    </w:p>
    <w:p w14:paraId="147D64B6" w14:textId="656AEFF6" w:rsidR="000B3A81" w:rsidRPr="009D3A36" w:rsidRDefault="000B3A81" w:rsidP="00C942DB">
      <w:pPr>
        <w:spacing w:before="120" w:after="0" w:line="240" w:lineRule="auto"/>
        <w:rPr>
          <w:rStyle w:val="Emphasis"/>
          <w:b/>
          <w:bCs/>
          <w:i w:val="0"/>
          <w:iCs w:val="0"/>
          <w:sz w:val="22"/>
          <w:u w:val="none"/>
        </w:rPr>
      </w:pPr>
      <w:bookmarkStart w:id="38" w:name="_Toc94197915"/>
      <w:r w:rsidRPr="009D3A36">
        <w:rPr>
          <w:rStyle w:val="Emphasis"/>
          <w:b/>
          <w:bCs/>
          <w:i w:val="0"/>
          <w:iCs w:val="0"/>
          <w:sz w:val="22"/>
          <w:u w:val="none"/>
        </w:rPr>
        <w:t xml:space="preserve">Ash Pond and Landfill </w:t>
      </w:r>
      <w:r w:rsidR="00161D27">
        <w:rPr>
          <w:rStyle w:val="Emphasis"/>
          <w:b/>
          <w:bCs/>
          <w:i w:val="0"/>
          <w:iCs w:val="0"/>
          <w:sz w:val="22"/>
          <w:u w:val="none"/>
        </w:rPr>
        <w:t xml:space="preserve">Closure </w:t>
      </w:r>
      <w:r w:rsidRPr="009D3A36">
        <w:rPr>
          <w:rStyle w:val="Emphasis"/>
          <w:b/>
          <w:bCs/>
          <w:i w:val="0"/>
          <w:iCs w:val="0"/>
          <w:sz w:val="22"/>
          <w:u w:val="none"/>
        </w:rPr>
        <w:t>Strategy</w:t>
      </w:r>
      <w:bookmarkEnd w:id="38"/>
    </w:p>
    <w:p w14:paraId="01AAC9F4" w14:textId="344C687E" w:rsidR="003625E5" w:rsidRDefault="00C32911" w:rsidP="003625E5">
      <w:pPr>
        <w:spacing w:before="120" w:after="0" w:line="240" w:lineRule="auto"/>
        <w:rPr>
          <w:lang w:val="en"/>
        </w:rPr>
      </w:pPr>
      <w:r>
        <w:rPr>
          <w:lang w:val="en"/>
        </w:rPr>
        <w:t>Georgia Power</w:t>
      </w:r>
      <w:r w:rsidR="00B7010C">
        <w:rPr>
          <w:lang w:val="en"/>
        </w:rPr>
        <w:t xml:space="preserve">’s </w:t>
      </w:r>
      <w:r w:rsidR="001422C3">
        <w:rPr>
          <w:lang w:val="en"/>
        </w:rPr>
        <w:t xml:space="preserve">site-specific </w:t>
      </w:r>
      <w:r w:rsidR="00B7010C">
        <w:rPr>
          <w:lang w:val="en"/>
        </w:rPr>
        <w:t xml:space="preserve">CCR </w:t>
      </w:r>
      <w:r w:rsidR="001465F1">
        <w:rPr>
          <w:lang w:val="en"/>
        </w:rPr>
        <w:t xml:space="preserve">closure strategies </w:t>
      </w:r>
      <w:r w:rsidR="00B7010C">
        <w:t xml:space="preserve">for </w:t>
      </w:r>
      <w:r w:rsidR="000B3A81">
        <w:rPr>
          <w:color w:val="171717" w:themeColor="background2" w:themeShade="1A"/>
        </w:rPr>
        <w:t>29 ash ponds and 1</w:t>
      </w:r>
      <w:r w:rsidR="00FF45DD">
        <w:rPr>
          <w:color w:val="171717" w:themeColor="background2" w:themeShade="1A"/>
        </w:rPr>
        <w:t>2</w:t>
      </w:r>
      <w:r w:rsidR="000B3A81">
        <w:rPr>
          <w:color w:val="171717" w:themeColor="background2" w:themeShade="1A"/>
        </w:rPr>
        <w:t xml:space="preserve"> existing CCR landfills at 12 sites across the state</w:t>
      </w:r>
      <w:r w:rsidR="00CA0117">
        <w:rPr>
          <w:color w:val="171717" w:themeColor="background2" w:themeShade="1A"/>
        </w:rPr>
        <w:t xml:space="preserve"> </w:t>
      </w:r>
      <w:r w:rsidR="001465F1">
        <w:rPr>
          <w:color w:val="171717" w:themeColor="background2" w:themeShade="1A"/>
        </w:rPr>
        <w:t>are</w:t>
      </w:r>
      <w:r w:rsidR="00CA0117">
        <w:rPr>
          <w:color w:val="171717" w:themeColor="background2" w:themeShade="1A"/>
        </w:rPr>
        <w:t xml:space="preserve"> </w:t>
      </w:r>
      <w:r w:rsidR="007865AC">
        <w:rPr>
          <w:lang w:val="en"/>
        </w:rPr>
        <w:t>shown in</w:t>
      </w:r>
      <w:r w:rsidR="00AF3FFA">
        <w:rPr>
          <w:lang w:val="en"/>
        </w:rPr>
        <w:t xml:space="preserve"> </w:t>
      </w:r>
      <w:r w:rsidR="00AF3FFA" w:rsidRPr="00AF3FFA">
        <w:rPr>
          <w:b/>
          <w:bCs/>
          <w:lang w:val="en"/>
        </w:rPr>
        <w:t>Table 5</w:t>
      </w:r>
      <w:r w:rsidR="00AF3FFA">
        <w:rPr>
          <w:lang w:val="en"/>
        </w:rPr>
        <w:t xml:space="preserve">. </w:t>
      </w:r>
      <w:r w:rsidR="00570B5E">
        <w:rPr>
          <w:lang w:val="en"/>
        </w:rPr>
        <w:t>The closure plans are</w:t>
      </w:r>
      <w:r w:rsidR="00570B5E" w:rsidRPr="00D666D9">
        <w:rPr>
          <w:lang w:val="en"/>
        </w:rPr>
        <w:t xml:space="preserve"> based </w:t>
      </w:r>
      <w:r w:rsidR="00570B5E">
        <w:rPr>
          <w:lang w:val="en"/>
        </w:rPr>
        <w:t>on detailed site-specific designs performed by third party professional engineers</w:t>
      </w:r>
      <w:r w:rsidR="00B14DD7">
        <w:rPr>
          <w:lang w:val="en"/>
        </w:rPr>
        <w:t xml:space="preserve"> </w:t>
      </w:r>
      <w:r w:rsidR="00B14DD7">
        <w:t>with expertise in solid waste permitting and design</w:t>
      </w:r>
      <w:r w:rsidR="00EE40A8">
        <w:t xml:space="preserve">. </w:t>
      </w:r>
      <w:r w:rsidR="00246936">
        <w:t xml:space="preserve"> </w:t>
      </w:r>
      <w:r w:rsidR="0047157D">
        <w:t xml:space="preserve">The site-specific plans </w:t>
      </w:r>
      <w:r w:rsidR="00246936">
        <w:t>consider</w:t>
      </w:r>
      <w:r w:rsidR="0047157D">
        <w:t xml:space="preserve"> various important factors, including</w:t>
      </w:r>
      <w:r w:rsidR="00246936">
        <w:t xml:space="preserve"> </w:t>
      </w:r>
      <w:r w:rsidR="00570B5E">
        <w:rPr>
          <w:lang w:val="en"/>
        </w:rPr>
        <w:t>the size and volume of each CCR unit, local geology and topography, detailed modeling of site stability, the availability of on-site or off-site landfill space, safety requirements, the compliance deadline, and other site-specific constraints.</w:t>
      </w:r>
      <w:r w:rsidR="007F495A">
        <w:rPr>
          <w:lang w:val="en"/>
        </w:rPr>
        <w:t xml:space="preserve"> </w:t>
      </w:r>
    </w:p>
    <w:p w14:paraId="080FE13C" w14:textId="39DA15E9" w:rsidR="004B4AE4" w:rsidRDefault="004B4AE4" w:rsidP="004B4AE4">
      <w:pPr>
        <w:spacing w:after="0" w:line="240" w:lineRule="auto"/>
        <w:jc w:val="center"/>
        <w:rPr>
          <w:lang w:val="en"/>
        </w:rPr>
      </w:pPr>
      <w:r w:rsidRPr="004B4AE4">
        <w:rPr>
          <w:b/>
          <w:bCs/>
          <w:sz w:val="20"/>
          <w:szCs w:val="20"/>
        </w:rPr>
        <w:lastRenderedPageBreak/>
        <w:t>Table 5</w:t>
      </w:r>
      <w:r w:rsidR="002D08B8">
        <w:rPr>
          <w:b/>
          <w:bCs/>
          <w:sz w:val="20"/>
          <w:szCs w:val="20"/>
        </w:rPr>
        <w:t>.</w:t>
      </w:r>
      <w:r w:rsidRPr="004B4AE4">
        <w:rPr>
          <w:b/>
          <w:bCs/>
          <w:sz w:val="20"/>
          <w:szCs w:val="20"/>
        </w:rPr>
        <w:t xml:space="preserve"> Georgia Power CCR Unit Closure Strategies</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55"/>
        <w:gridCol w:w="1215"/>
        <w:gridCol w:w="6440"/>
      </w:tblGrid>
      <w:tr w:rsidR="0046420C" w:rsidRPr="00C55815" w14:paraId="6212D5A9" w14:textId="77777777" w:rsidTr="00D447DB">
        <w:trPr>
          <w:trHeight w:val="197"/>
          <w:tblHeader/>
          <w:jc w:val="center"/>
        </w:trPr>
        <w:tc>
          <w:tcPr>
            <w:tcW w:w="1255" w:type="dxa"/>
            <w:shd w:val="clear" w:color="auto" w:fill="E7E6E6" w:themeFill="background2"/>
            <w:vAlign w:val="center"/>
            <w:hideMark/>
          </w:tcPr>
          <w:p w14:paraId="06F5A2B8" w14:textId="77777777" w:rsidR="0046420C" w:rsidRPr="003F3BBD" w:rsidRDefault="0046420C" w:rsidP="006F2DF7">
            <w:pPr>
              <w:spacing w:before="120" w:after="0" w:line="240" w:lineRule="auto"/>
              <w:rPr>
                <w:rFonts w:ascii="Calibri" w:eastAsia="Times New Roman" w:hAnsi="Calibri" w:cs="Calibri"/>
                <w:b/>
                <w:bCs/>
                <w:color w:val="000000"/>
                <w:sz w:val="20"/>
                <w:szCs w:val="20"/>
              </w:rPr>
            </w:pPr>
            <w:r w:rsidRPr="003F3BBD">
              <w:rPr>
                <w:rFonts w:ascii="Calibri" w:eastAsia="Times New Roman" w:hAnsi="Calibri" w:cs="Calibri"/>
                <w:b/>
                <w:bCs/>
                <w:color w:val="000000"/>
                <w:sz w:val="20"/>
                <w:szCs w:val="20"/>
              </w:rPr>
              <w:t>Facility</w:t>
            </w:r>
          </w:p>
        </w:tc>
        <w:tc>
          <w:tcPr>
            <w:tcW w:w="1255" w:type="dxa"/>
            <w:shd w:val="clear" w:color="auto" w:fill="E7E6E6" w:themeFill="background2"/>
            <w:vAlign w:val="center"/>
            <w:hideMark/>
          </w:tcPr>
          <w:p w14:paraId="187011B6" w14:textId="77777777" w:rsidR="0046420C" w:rsidRPr="003F3BBD" w:rsidRDefault="0046420C" w:rsidP="00D34716">
            <w:pPr>
              <w:spacing w:before="120" w:after="0" w:line="240" w:lineRule="auto"/>
              <w:jc w:val="center"/>
              <w:rPr>
                <w:rFonts w:ascii="Calibri" w:eastAsia="Times New Roman" w:hAnsi="Calibri" w:cs="Calibri"/>
                <w:b/>
                <w:bCs/>
                <w:color w:val="000000"/>
                <w:sz w:val="20"/>
                <w:szCs w:val="20"/>
              </w:rPr>
            </w:pPr>
            <w:r w:rsidRPr="003F3BBD">
              <w:rPr>
                <w:rFonts w:ascii="Calibri" w:eastAsia="Times New Roman" w:hAnsi="Calibri" w:cs="Calibri"/>
                <w:b/>
                <w:bCs/>
                <w:color w:val="000000"/>
                <w:sz w:val="20"/>
                <w:szCs w:val="20"/>
              </w:rPr>
              <w:t>Landfills</w:t>
            </w:r>
          </w:p>
        </w:tc>
        <w:tc>
          <w:tcPr>
            <w:tcW w:w="1215" w:type="dxa"/>
            <w:shd w:val="clear" w:color="auto" w:fill="E7E6E6" w:themeFill="background2"/>
            <w:vAlign w:val="center"/>
            <w:hideMark/>
          </w:tcPr>
          <w:p w14:paraId="1E6434AF" w14:textId="77777777" w:rsidR="0046420C" w:rsidRPr="003F3BBD" w:rsidRDefault="0046420C" w:rsidP="00D34716">
            <w:pPr>
              <w:spacing w:before="120" w:after="0" w:line="240" w:lineRule="auto"/>
              <w:jc w:val="center"/>
              <w:rPr>
                <w:rFonts w:ascii="Calibri" w:eastAsia="Times New Roman" w:hAnsi="Calibri" w:cs="Calibri"/>
                <w:b/>
                <w:bCs/>
                <w:color w:val="000000"/>
                <w:sz w:val="20"/>
                <w:szCs w:val="20"/>
              </w:rPr>
            </w:pPr>
            <w:r w:rsidRPr="003F3BBD">
              <w:rPr>
                <w:rFonts w:ascii="Calibri" w:eastAsia="Times New Roman" w:hAnsi="Calibri" w:cs="Calibri"/>
                <w:b/>
                <w:bCs/>
                <w:color w:val="000000"/>
                <w:sz w:val="20"/>
                <w:szCs w:val="20"/>
              </w:rPr>
              <w:t>Ash Ponds</w:t>
            </w:r>
          </w:p>
        </w:tc>
        <w:tc>
          <w:tcPr>
            <w:tcW w:w="6440" w:type="dxa"/>
            <w:shd w:val="clear" w:color="auto" w:fill="E7E6E6" w:themeFill="background2"/>
            <w:noWrap/>
            <w:vAlign w:val="center"/>
            <w:hideMark/>
          </w:tcPr>
          <w:p w14:paraId="0545CE95" w14:textId="77777777" w:rsidR="0046420C" w:rsidRPr="003F3BBD" w:rsidRDefault="0046420C" w:rsidP="00D34716">
            <w:pPr>
              <w:spacing w:before="120" w:after="0" w:line="240" w:lineRule="auto"/>
              <w:jc w:val="left"/>
              <w:rPr>
                <w:rFonts w:ascii="Calibri" w:eastAsia="Times New Roman" w:hAnsi="Calibri" w:cs="Calibri"/>
                <w:b/>
                <w:bCs/>
                <w:color w:val="000000"/>
                <w:sz w:val="20"/>
                <w:szCs w:val="20"/>
              </w:rPr>
            </w:pPr>
            <w:r w:rsidRPr="003F3BBD">
              <w:rPr>
                <w:rFonts w:ascii="Calibri" w:eastAsia="Times New Roman" w:hAnsi="Calibri" w:cs="Calibri"/>
                <w:b/>
                <w:color w:val="000000" w:themeColor="text1"/>
                <w:sz w:val="20"/>
                <w:szCs w:val="20"/>
              </w:rPr>
              <w:t>Closure Strategy</w:t>
            </w:r>
          </w:p>
        </w:tc>
      </w:tr>
      <w:tr w:rsidR="0046420C" w:rsidRPr="00C55815" w14:paraId="0398FD2A" w14:textId="77777777" w:rsidTr="00D447DB">
        <w:trPr>
          <w:trHeight w:val="854"/>
          <w:jc w:val="center"/>
        </w:trPr>
        <w:tc>
          <w:tcPr>
            <w:tcW w:w="1255" w:type="dxa"/>
            <w:vMerge w:val="restart"/>
            <w:shd w:val="clear" w:color="auto" w:fill="auto"/>
            <w:noWrap/>
            <w:vAlign w:val="center"/>
            <w:hideMark/>
          </w:tcPr>
          <w:p w14:paraId="079BA2B1"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Arkwright</w:t>
            </w:r>
          </w:p>
        </w:tc>
        <w:tc>
          <w:tcPr>
            <w:tcW w:w="1255" w:type="dxa"/>
            <w:shd w:val="clear" w:color="auto" w:fill="auto"/>
            <w:vAlign w:val="center"/>
            <w:hideMark/>
          </w:tcPr>
          <w:p w14:paraId="78BD2229" w14:textId="70D5D97D"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22467956">
              <w:rPr>
                <w:rFonts w:ascii="Calibri" w:eastAsia="Times New Roman" w:hAnsi="Calibri" w:cs="Calibri"/>
                <w:color w:val="000000" w:themeColor="text1"/>
                <w:sz w:val="20"/>
                <w:szCs w:val="20"/>
              </w:rPr>
              <w:t>AP-1 Landfill, AP-2 DAS Landfill, AP-3</w:t>
            </w:r>
            <w:r w:rsidR="00F93CA8">
              <w:rPr>
                <w:rFonts w:ascii="Calibri" w:eastAsia="Times New Roman" w:hAnsi="Calibri" w:cs="Calibri"/>
                <w:color w:val="000000" w:themeColor="text1"/>
                <w:sz w:val="20"/>
                <w:szCs w:val="20"/>
              </w:rPr>
              <w:t>/Monofill</w:t>
            </w:r>
            <w:r w:rsidRPr="22467956">
              <w:rPr>
                <w:rFonts w:ascii="Calibri" w:eastAsia="Times New Roman" w:hAnsi="Calibri" w:cs="Calibri"/>
                <w:color w:val="000000" w:themeColor="text1"/>
                <w:sz w:val="20"/>
                <w:szCs w:val="20"/>
              </w:rPr>
              <w:t xml:space="preserve"> Landfill</w:t>
            </w:r>
          </w:p>
        </w:tc>
        <w:tc>
          <w:tcPr>
            <w:tcW w:w="1215" w:type="dxa"/>
            <w:shd w:val="clear" w:color="auto" w:fill="auto"/>
            <w:vAlign w:val="center"/>
            <w:hideMark/>
          </w:tcPr>
          <w:p w14:paraId="0AD47223"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132B6A48" w14:textId="4D5E8E7D" w:rsidR="0046420C" w:rsidRPr="00C55815" w:rsidRDefault="0046420C" w:rsidP="00D34716">
            <w:pPr>
              <w:spacing w:before="120" w:after="0" w:line="240" w:lineRule="auto"/>
              <w:rPr>
                <w:rFonts w:ascii="Calibri" w:eastAsia="Times New Roman" w:hAnsi="Calibri" w:cs="Calibri"/>
                <w:color w:val="000000"/>
                <w:sz w:val="20"/>
                <w:szCs w:val="20"/>
              </w:rPr>
            </w:pPr>
            <w:r w:rsidRPr="22467956">
              <w:rPr>
                <w:rFonts w:ascii="Calibri" w:eastAsia="Times New Roman" w:hAnsi="Calibri" w:cs="Calibri"/>
                <w:color w:val="000000" w:themeColor="text1"/>
                <w:sz w:val="20"/>
                <w:szCs w:val="20"/>
              </w:rPr>
              <w:t xml:space="preserve">The existing landfills were closed in 2010 under Solid Waste Regulations applicable at the time. Under the Georgia CCR Rule, the existing landfills will be closed by removal to a future </w:t>
            </w:r>
            <w:r w:rsidR="00647817" w:rsidRPr="22467956">
              <w:rPr>
                <w:rFonts w:ascii="Calibri" w:eastAsia="Times New Roman" w:hAnsi="Calibri" w:cs="Calibri"/>
                <w:color w:val="000000" w:themeColor="text1"/>
                <w:sz w:val="20"/>
                <w:szCs w:val="20"/>
              </w:rPr>
              <w:t xml:space="preserve">on-site </w:t>
            </w:r>
            <w:r>
              <w:rPr>
                <w:rFonts w:ascii="Calibri" w:eastAsia="Times New Roman" w:hAnsi="Calibri" w:cs="Calibri"/>
                <w:color w:val="000000" w:themeColor="text1"/>
                <w:sz w:val="20"/>
                <w:szCs w:val="20"/>
              </w:rPr>
              <w:t>permitted</w:t>
            </w:r>
            <w:r w:rsidRPr="22467956">
              <w:rPr>
                <w:rFonts w:ascii="Calibri" w:eastAsia="Times New Roman" w:hAnsi="Calibri" w:cs="Calibri"/>
                <w:color w:val="000000" w:themeColor="text1"/>
                <w:sz w:val="20"/>
                <w:szCs w:val="20"/>
              </w:rPr>
              <w:t xml:space="preserve"> landfill.</w:t>
            </w:r>
          </w:p>
        </w:tc>
      </w:tr>
      <w:tr w:rsidR="0046420C" w:rsidRPr="00C55815" w14:paraId="1AA8F612" w14:textId="77777777" w:rsidTr="00D447DB">
        <w:trPr>
          <w:trHeight w:val="800"/>
          <w:jc w:val="center"/>
        </w:trPr>
        <w:tc>
          <w:tcPr>
            <w:tcW w:w="1255" w:type="dxa"/>
            <w:vMerge/>
            <w:vAlign w:val="center"/>
            <w:hideMark/>
          </w:tcPr>
          <w:p w14:paraId="1F34DFCB"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4A7A36AD"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Future LF</w:t>
            </w:r>
          </w:p>
        </w:tc>
        <w:tc>
          <w:tcPr>
            <w:tcW w:w="1215" w:type="dxa"/>
            <w:shd w:val="clear" w:color="auto" w:fill="auto"/>
            <w:vAlign w:val="center"/>
            <w:hideMark/>
          </w:tcPr>
          <w:p w14:paraId="4D907313"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399B6CC8"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The future </w:t>
            </w:r>
            <w:r>
              <w:rPr>
                <w:rFonts w:ascii="Calibri" w:eastAsia="Times New Roman" w:hAnsi="Calibri" w:cs="Calibri"/>
                <w:color w:val="000000"/>
                <w:sz w:val="20"/>
                <w:szCs w:val="20"/>
              </w:rPr>
              <w:t>permitted</w:t>
            </w:r>
            <w:r w:rsidRPr="00C55815">
              <w:rPr>
                <w:rFonts w:ascii="Calibri" w:eastAsia="Times New Roman" w:hAnsi="Calibri" w:cs="Calibri"/>
                <w:color w:val="000000"/>
                <w:sz w:val="20"/>
                <w:szCs w:val="20"/>
              </w:rPr>
              <w:t xml:space="preserve"> landfill will be on-site and will receive CCR from the other on-site landfills. The landfill will undergo closure when permitted capacity is reached or when CCR disposal is no longer needed.</w:t>
            </w:r>
          </w:p>
        </w:tc>
      </w:tr>
      <w:tr w:rsidR="0046420C" w:rsidRPr="00C55815" w14:paraId="19A230D3" w14:textId="77777777" w:rsidTr="00D447DB">
        <w:trPr>
          <w:trHeight w:val="520"/>
          <w:jc w:val="center"/>
        </w:trPr>
        <w:tc>
          <w:tcPr>
            <w:tcW w:w="1255" w:type="dxa"/>
            <w:vMerge w:val="restart"/>
            <w:shd w:val="clear" w:color="auto" w:fill="auto"/>
            <w:noWrap/>
            <w:vAlign w:val="center"/>
            <w:hideMark/>
          </w:tcPr>
          <w:p w14:paraId="5EF4D9F8"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Bowen</w:t>
            </w:r>
          </w:p>
        </w:tc>
        <w:tc>
          <w:tcPr>
            <w:tcW w:w="1255" w:type="dxa"/>
            <w:shd w:val="clear" w:color="auto" w:fill="auto"/>
            <w:vAlign w:val="center"/>
            <w:hideMark/>
          </w:tcPr>
          <w:p w14:paraId="725AD93B"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224C99FB"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p>
        </w:tc>
        <w:tc>
          <w:tcPr>
            <w:tcW w:w="6440" w:type="dxa"/>
            <w:shd w:val="clear" w:color="auto" w:fill="auto"/>
            <w:vAlign w:val="center"/>
            <w:hideMark/>
          </w:tcPr>
          <w:p w14:paraId="6FBBFB3C"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AP-1 is being closed in place </w:t>
            </w:r>
            <w:r>
              <w:rPr>
                <w:rFonts w:ascii="Calibri" w:eastAsia="Times New Roman" w:hAnsi="Calibri" w:cs="Calibri"/>
                <w:color w:val="000000"/>
                <w:sz w:val="20"/>
                <w:szCs w:val="20"/>
              </w:rPr>
              <w:t xml:space="preserve">by excavating and consolidating </w:t>
            </w:r>
            <w:r w:rsidRPr="00C55815">
              <w:rPr>
                <w:rFonts w:ascii="Calibri" w:eastAsia="Times New Roman" w:hAnsi="Calibri" w:cs="Calibri"/>
                <w:color w:val="000000"/>
                <w:sz w:val="20"/>
                <w:szCs w:val="20"/>
              </w:rPr>
              <w:t xml:space="preserve">CCR </w:t>
            </w:r>
            <w:r w:rsidRPr="278029D7">
              <w:rPr>
                <w:rFonts w:eastAsia="Calibri" w:cs="Arial"/>
                <w:color w:val="000000" w:themeColor="text1"/>
                <w:sz w:val="20"/>
                <w:szCs w:val="20"/>
              </w:rPr>
              <w:t>into a fully contained engineered structure (composite-lined and final-covered area).</w:t>
            </w:r>
          </w:p>
        </w:tc>
      </w:tr>
      <w:tr w:rsidR="0046420C" w:rsidRPr="00C55815" w14:paraId="1DB974C1" w14:textId="77777777" w:rsidTr="00D447DB">
        <w:trPr>
          <w:trHeight w:val="780"/>
          <w:jc w:val="center"/>
        </w:trPr>
        <w:tc>
          <w:tcPr>
            <w:tcW w:w="1255" w:type="dxa"/>
            <w:vMerge/>
            <w:vAlign w:val="center"/>
            <w:hideMark/>
          </w:tcPr>
          <w:p w14:paraId="7E37C439"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3C6FBA0A"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LF</w:t>
            </w:r>
          </w:p>
        </w:tc>
        <w:tc>
          <w:tcPr>
            <w:tcW w:w="1215" w:type="dxa"/>
            <w:shd w:val="clear" w:color="auto" w:fill="auto"/>
            <w:vAlign w:val="center"/>
            <w:hideMark/>
          </w:tcPr>
          <w:p w14:paraId="2540EAE0"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467F53AA" w14:textId="45B1F550" w:rsidR="0046420C" w:rsidRPr="00C55815" w:rsidRDefault="0046420C" w:rsidP="00D34716">
            <w:pPr>
              <w:spacing w:before="120"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The permitted</w:t>
            </w:r>
            <w:r w:rsidRPr="00C55815">
              <w:rPr>
                <w:rFonts w:ascii="Calibri" w:eastAsia="Times New Roman" w:hAnsi="Calibri" w:cs="Calibri"/>
                <w:color w:val="000000"/>
                <w:sz w:val="20"/>
                <w:szCs w:val="20"/>
              </w:rPr>
              <w:t xml:space="preserve"> landfill is to remain active as part of ongoing plant operations</w:t>
            </w:r>
            <w:r w:rsidR="00E97AED">
              <w:rPr>
                <w:rFonts w:ascii="Calibri" w:eastAsia="Times New Roman" w:hAnsi="Calibri" w:cs="Calibri"/>
                <w:color w:val="000000"/>
                <w:sz w:val="20"/>
                <w:szCs w:val="20"/>
              </w:rPr>
              <w:t xml:space="preserve"> and </w:t>
            </w:r>
            <w:r w:rsidR="000020EA">
              <w:rPr>
                <w:rFonts w:ascii="Calibri" w:eastAsia="Times New Roman" w:hAnsi="Calibri" w:cs="Calibri"/>
                <w:color w:val="000000"/>
                <w:sz w:val="20"/>
                <w:szCs w:val="20"/>
              </w:rPr>
              <w:t>will also</w:t>
            </w:r>
            <w:r w:rsidR="00E97AED">
              <w:rPr>
                <w:rFonts w:ascii="Calibri" w:eastAsia="Times New Roman" w:hAnsi="Calibri" w:cs="Calibri"/>
                <w:color w:val="000000"/>
                <w:sz w:val="20"/>
                <w:szCs w:val="20"/>
              </w:rPr>
              <w:t xml:space="preserve"> support ash pond closure</w:t>
            </w:r>
            <w:r w:rsidRPr="00C55815">
              <w:rPr>
                <w:rFonts w:ascii="Calibri" w:eastAsia="Times New Roman" w:hAnsi="Calibri" w:cs="Calibri"/>
                <w:color w:val="000000"/>
                <w:sz w:val="20"/>
                <w:szCs w:val="20"/>
              </w:rPr>
              <w:t>. The landfill will undergo closure when permitted capacity is reached or when CCR disposal is no longer needed.</w:t>
            </w:r>
          </w:p>
        </w:tc>
      </w:tr>
      <w:tr w:rsidR="0046420C" w:rsidRPr="00C55815" w14:paraId="2439B7B6" w14:textId="77777777" w:rsidTr="00D447DB">
        <w:trPr>
          <w:trHeight w:val="520"/>
          <w:jc w:val="center"/>
        </w:trPr>
        <w:tc>
          <w:tcPr>
            <w:tcW w:w="1255" w:type="dxa"/>
            <w:vMerge w:val="restart"/>
            <w:shd w:val="clear" w:color="auto" w:fill="auto"/>
            <w:noWrap/>
            <w:vAlign w:val="center"/>
            <w:hideMark/>
          </w:tcPr>
          <w:p w14:paraId="6EC0DB57" w14:textId="2179F6B6" w:rsidR="0046420C" w:rsidRPr="00C55815" w:rsidRDefault="00677E3B" w:rsidP="00D34716">
            <w:pPr>
              <w:spacing w:before="120"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 xml:space="preserve">  </w:t>
            </w:r>
            <w:r w:rsidR="00931CB4">
              <w:rPr>
                <w:rFonts w:ascii="Calibri" w:eastAsia="Times New Roman" w:hAnsi="Calibri" w:cs="Calibri"/>
                <w:color w:val="000000"/>
                <w:sz w:val="20"/>
                <w:szCs w:val="20"/>
              </w:rPr>
              <w:t xml:space="preserve">   </w:t>
            </w:r>
            <w:r w:rsidR="009E033C">
              <w:rPr>
                <w:rFonts w:ascii="Calibri" w:eastAsia="Times New Roman" w:hAnsi="Calibri" w:cs="Calibri"/>
                <w:color w:val="000000"/>
                <w:sz w:val="20"/>
                <w:szCs w:val="20"/>
              </w:rPr>
              <w:t xml:space="preserve"> </w:t>
            </w:r>
            <w:r w:rsidR="005B4522">
              <w:rPr>
                <w:rFonts w:ascii="Calibri" w:eastAsia="Times New Roman" w:hAnsi="Calibri" w:cs="Calibri"/>
                <w:color w:val="000000"/>
                <w:sz w:val="20"/>
                <w:szCs w:val="20"/>
              </w:rPr>
              <w:t xml:space="preserve">   </w:t>
            </w:r>
            <w:r w:rsidR="0046420C" w:rsidRPr="00C55815">
              <w:rPr>
                <w:rFonts w:ascii="Calibri" w:eastAsia="Times New Roman" w:hAnsi="Calibri" w:cs="Calibri"/>
                <w:color w:val="000000"/>
                <w:sz w:val="20"/>
                <w:szCs w:val="20"/>
              </w:rPr>
              <w:t>Branch</w:t>
            </w:r>
          </w:p>
        </w:tc>
        <w:tc>
          <w:tcPr>
            <w:tcW w:w="1255" w:type="dxa"/>
            <w:shd w:val="clear" w:color="auto" w:fill="auto"/>
            <w:vAlign w:val="center"/>
            <w:hideMark/>
          </w:tcPr>
          <w:p w14:paraId="77AB8087"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096EB8DA"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AP-A</w:t>
            </w:r>
          </w:p>
        </w:tc>
        <w:tc>
          <w:tcPr>
            <w:tcW w:w="6440" w:type="dxa"/>
            <w:shd w:val="clear" w:color="auto" w:fill="auto"/>
            <w:vAlign w:val="center"/>
            <w:hideMark/>
          </w:tcPr>
          <w:p w14:paraId="77B635C5"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AP-A was closed by removal and consolidated within AP-E before the </w:t>
            </w:r>
            <w:r>
              <w:rPr>
                <w:rFonts w:ascii="Calibri" w:eastAsia="Times New Roman" w:hAnsi="Calibri" w:cs="Calibri"/>
                <w:color w:val="000000"/>
                <w:sz w:val="20"/>
                <w:szCs w:val="20"/>
              </w:rPr>
              <w:t>Georgia</w:t>
            </w:r>
            <w:r w:rsidRPr="00C55815">
              <w:rPr>
                <w:rFonts w:ascii="Calibri" w:eastAsia="Times New Roman" w:hAnsi="Calibri" w:cs="Calibri"/>
                <w:color w:val="000000"/>
                <w:sz w:val="20"/>
                <w:szCs w:val="20"/>
              </w:rPr>
              <w:t xml:space="preserve"> CCR Rule became effective.  </w:t>
            </w:r>
          </w:p>
        </w:tc>
      </w:tr>
      <w:tr w:rsidR="0046420C" w:rsidRPr="00C55815" w14:paraId="28B1ABCD" w14:textId="77777777" w:rsidTr="00D447DB">
        <w:trPr>
          <w:trHeight w:val="377"/>
          <w:jc w:val="center"/>
        </w:trPr>
        <w:tc>
          <w:tcPr>
            <w:tcW w:w="1255" w:type="dxa"/>
            <w:vMerge/>
            <w:vAlign w:val="center"/>
            <w:hideMark/>
          </w:tcPr>
          <w:p w14:paraId="55497F62" w14:textId="77777777" w:rsidR="0046420C" w:rsidRPr="00C55815" w:rsidRDefault="0046420C" w:rsidP="00D34716">
            <w:pPr>
              <w:spacing w:before="120" w:after="0" w:line="240" w:lineRule="auto"/>
              <w:jc w:val="left"/>
              <w:rPr>
                <w:rFonts w:ascii="Calibri" w:eastAsia="Times New Roman" w:hAnsi="Calibri" w:cs="Calibri"/>
                <w:color w:val="000000"/>
                <w:sz w:val="20"/>
                <w:szCs w:val="20"/>
              </w:rPr>
            </w:pPr>
          </w:p>
        </w:tc>
        <w:tc>
          <w:tcPr>
            <w:tcW w:w="1255" w:type="dxa"/>
            <w:shd w:val="clear" w:color="auto" w:fill="auto"/>
            <w:vAlign w:val="center"/>
            <w:hideMark/>
          </w:tcPr>
          <w:p w14:paraId="7FA8AA44"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0498E07A"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AP-B, C, D, E</w:t>
            </w:r>
          </w:p>
        </w:tc>
        <w:tc>
          <w:tcPr>
            <w:tcW w:w="6440" w:type="dxa"/>
            <w:shd w:val="clear" w:color="auto" w:fill="auto"/>
            <w:vAlign w:val="center"/>
            <w:hideMark/>
          </w:tcPr>
          <w:p w14:paraId="77E85FD7"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AP-B, C, D, &amp; E will be closed by removal to a future permitted on</w:t>
            </w:r>
            <w:r>
              <w:rPr>
                <w:rFonts w:ascii="Calibri" w:eastAsia="Times New Roman" w:hAnsi="Calibri" w:cs="Calibri"/>
                <w:color w:val="000000"/>
                <w:sz w:val="20"/>
                <w:szCs w:val="20"/>
              </w:rPr>
              <w:t>-</w:t>
            </w:r>
            <w:r w:rsidRPr="00C55815">
              <w:rPr>
                <w:rFonts w:ascii="Calibri" w:eastAsia="Times New Roman" w:hAnsi="Calibri" w:cs="Calibri"/>
                <w:color w:val="000000"/>
                <w:sz w:val="20"/>
                <w:szCs w:val="20"/>
              </w:rPr>
              <w:t xml:space="preserve">site landfill. </w:t>
            </w:r>
          </w:p>
        </w:tc>
      </w:tr>
      <w:tr w:rsidR="0046420C" w:rsidRPr="00C55815" w14:paraId="63764782" w14:textId="77777777" w:rsidTr="00D447DB">
        <w:trPr>
          <w:trHeight w:val="780"/>
          <w:jc w:val="center"/>
        </w:trPr>
        <w:tc>
          <w:tcPr>
            <w:tcW w:w="1255" w:type="dxa"/>
            <w:vMerge/>
            <w:vAlign w:val="center"/>
            <w:hideMark/>
          </w:tcPr>
          <w:p w14:paraId="43189224" w14:textId="77777777" w:rsidR="0046420C" w:rsidRPr="00C55815" w:rsidRDefault="0046420C" w:rsidP="00D34716">
            <w:pPr>
              <w:spacing w:before="120" w:after="0" w:line="240" w:lineRule="auto"/>
              <w:jc w:val="left"/>
              <w:rPr>
                <w:rFonts w:ascii="Calibri" w:eastAsia="Times New Roman" w:hAnsi="Calibri" w:cs="Calibri"/>
                <w:color w:val="000000"/>
                <w:sz w:val="20"/>
                <w:szCs w:val="20"/>
              </w:rPr>
            </w:pPr>
          </w:p>
        </w:tc>
        <w:tc>
          <w:tcPr>
            <w:tcW w:w="1255" w:type="dxa"/>
            <w:shd w:val="clear" w:color="auto" w:fill="auto"/>
            <w:vAlign w:val="center"/>
            <w:hideMark/>
          </w:tcPr>
          <w:p w14:paraId="20AB5189"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Future LF</w:t>
            </w:r>
          </w:p>
        </w:tc>
        <w:tc>
          <w:tcPr>
            <w:tcW w:w="1215" w:type="dxa"/>
            <w:shd w:val="clear" w:color="auto" w:fill="auto"/>
            <w:vAlign w:val="center"/>
            <w:hideMark/>
          </w:tcPr>
          <w:p w14:paraId="6763C22B"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791CDDCF" w14:textId="2E588F1E" w:rsidR="0046420C" w:rsidRPr="00C55815" w:rsidRDefault="00141759"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The </w:t>
            </w:r>
            <w:r>
              <w:rPr>
                <w:rFonts w:ascii="Calibri" w:eastAsia="Times New Roman" w:hAnsi="Calibri" w:cs="Calibri"/>
                <w:color w:val="000000"/>
                <w:sz w:val="20"/>
                <w:szCs w:val="20"/>
              </w:rPr>
              <w:t>permitted</w:t>
            </w:r>
            <w:r w:rsidRPr="00C55815">
              <w:rPr>
                <w:rFonts w:ascii="Calibri" w:eastAsia="Times New Roman" w:hAnsi="Calibri" w:cs="Calibri"/>
                <w:color w:val="000000"/>
                <w:sz w:val="20"/>
                <w:szCs w:val="20"/>
              </w:rPr>
              <w:t xml:space="preserve"> landfill </w:t>
            </w:r>
            <w:r w:rsidR="008F5FD9">
              <w:rPr>
                <w:rFonts w:ascii="Calibri" w:eastAsia="Times New Roman" w:hAnsi="Calibri" w:cs="Calibri"/>
                <w:color w:val="000000"/>
                <w:sz w:val="20"/>
                <w:szCs w:val="20"/>
              </w:rPr>
              <w:t xml:space="preserve">is under construction </w:t>
            </w:r>
            <w:r w:rsidRPr="00C55815">
              <w:rPr>
                <w:rFonts w:ascii="Calibri" w:eastAsia="Times New Roman" w:hAnsi="Calibri" w:cs="Calibri"/>
                <w:color w:val="000000"/>
                <w:sz w:val="20"/>
                <w:szCs w:val="20"/>
              </w:rPr>
              <w:t>and</w:t>
            </w:r>
            <w:r w:rsidR="00CB6517">
              <w:rPr>
                <w:rFonts w:ascii="Calibri" w:eastAsia="Times New Roman" w:hAnsi="Calibri" w:cs="Calibri"/>
                <w:color w:val="000000"/>
                <w:sz w:val="20"/>
                <w:szCs w:val="20"/>
              </w:rPr>
              <w:t xml:space="preserve"> will support ash pond closure</w:t>
            </w:r>
            <w:r w:rsidR="00317449">
              <w:rPr>
                <w:rFonts w:ascii="Calibri" w:eastAsia="Times New Roman" w:hAnsi="Calibri" w:cs="Calibri"/>
                <w:color w:val="000000"/>
                <w:sz w:val="20"/>
                <w:szCs w:val="20"/>
              </w:rPr>
              <w:t>s</w:t>
            </w:r>
            <w:r>
              <w:rPr>
                <w:rFonts w:ascii="Calibri" w:eastAsia="Times New Roman" w:hAnsi="Calibri" w:cs="Calibri"/>
                <w:color w:val="000000"/>
                <w:sz w:val="20"/>
                <w:szCs w:val="20"/>
              </w:rPr>
              <w:t xml:space="preserve">. </w:t>
            </w:r>
            <w:r w:rsidR="00A73AB6" w:rsidRPr="00C55815">
              <w:rPr>
                <w:rFonts w:ascii="Calibri" w:eastAsia="Times New Roman" w:hAnsi="Calibri" w:cs="Calibri"/>
                <w:color w:val="000000"/>
                <w:sz w:val="20"/>
                <w:szCs w:val="20"/>
              </w:rPr>
              <w:t>The landfill will undergo closure when permitted capacity is reached or when CCR disposal is no longer needed</w:t>
            </w:r>
            <w:r w:rsidR="008222E0">
              <w:rPr>
                <w:rFonts w:ascii="Calibri" w:eastAsia="Times New Roman" w:hAnsi="Calibri" w:cs="Calibri"/>
                <w:color w:val="000000"/>
                <w:sz w:val="20"/>
                <w:szCs w:val="20"/>
              </w:rPr>
              <w:t>.</w:t>
            </w:r>
            <w:r w:rsidRPr="00C55815">
              <w:rPr>
                <w:rFonts w:ascii="Calibri" w:eastAsia="Times New Roman" w:hAnsi="Calibri" w:cs="Calibri"/>
                <w:color w:val="000000"/>
                <w:sz w:val="20"/>
                <w:szCs w:val="20"/>
              </w:rPr>
              <w:t xml:space="preserve"> </w:t>
            </w:r>
          </w:p>
        </w:tc>
      </w:tr>
      <w:tr w:rsidR="0046420C" w:rsidRPr="00C55815" w14:paraId="4658FA56" w14:textId="77777777" w:rsidTr="00D447DB">
        <w:trPr>
          <w:trHeight w:val="520"/>
          <w:jc w:val="center"/>
        </w:trPr>
        <w:tc>
          <w:tcPr>
            <w:tcW w:w="1255" w:type="dxa"/>
            <w:vMerge w:val="restart"/>
            <w:shd w:val="clear" w:color="auto" w:fill="auto"/>
            <w:noWrap/>
            <w:vAlign w:val="center"/>
            <w:hideMark/>
          </w:tcPr>
          <w:p w14:paraId="4BA22310"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Hammond</w:t>
            </w:r>
          </w:p>
        </w:tc>
        <w:tc>
          <w:tcPr>
            <w:tcW w:w="1255" w:type="dxa"/>
            <w:shd w:val="clear" w:color="auto" w:fill="auto"/>
            <w:vAlign w:val="center"/>
            <w:hideMark/>
          </w:tcPr>
          <w:p w14:paraId="2627F8AD"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667BD2D9"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r>
              <w:rPr>
                <w:rFonts w:ascii="Calibri" w:eastAsia="Times New Roman" w:hAnsi="Calibri" w:cs="Calibri"/>
                <w:color w:val="000000"/>
                <w:sz w:val="20"/>
                <w:szCs w:val="20"/>
              </w:rPr>
              <w:t>, AP-2</w:t>
            </w:r>
          </w:p>
        </w:tc>
        <w:tc>
          <w:tcPr>
            <w:tcW w:w="6440" w:type="dxa"/>
            <w:shd w:val="clear" w:color="auto" w:fill="auto"/>
            <w:vAlign w:val="center"/>
            <w:hideMark/>
          </w:tcPr>
          <w:p w14:paraId="3754AC0B"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r>
              <w:rPr>
                <w:rFonts w:ascii="Calibri" w:eastAsia="Times New Roman" w:hAnsi="Calibri" w:cs="Calibri"/>
                <w:color w:val="000000"/>
                <w:sz w:val="20"/>
                <w:szCs w:val="20"/>
              </w:rPr>
              <w:t xml:space="preserve"> and AP-2 are </w:t>
            </w:r>
            <w:r w:rsidRPr="00C55815">
              <w:rPr>
                <w:rFonts w:ascii="Calibri" w:eastAsia="Times New Roman" w:hAnsi="Calibri" w:cs="Calibri"/>
                <w:color w:val="000000"/>
                <w:sz w:val="20"/>
                <w:szCs w:val="20"/>
              </w:rPr>
              <w:t>being closed by removal to a Company-owned off-site permitted landfill (Huffaker Road).</w:t>
            </w:r>
          </w:p>
        </w:tc>
      </w:tr>
      <w:tr w:rsidR="0046420C" w:rsidRPr="00C55815" w14:paraId="302507FF" w14:textId="77777777" w:rsidTr="00D447DB">
        <w:trPr>
          <w:trHeight w:val="1016"/>
          <w:jc w:val="center"/>
        </w:trPr>
        <w:tc>
          <w:tcPr>
            <w:tcW w:w="1255" w:type="dxa"/>
            <w:vMerge/>
            <w:vAlign w:val="center"/>
            <w:hideMark/>
          </w:tcPr>
          <w:p w14:paraId="5E889500"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38C90016"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121512BA"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AP-3</w:t>
            </w:r>
          </w:p>
        </w:tc>
        <w:tc>
          <w:tcPr>
            <w:tcW w:w="6440" w:type="dxa"/>
            <w:shd w:val="clear" w:color="auto" w:fill="auto"/>
            <w:vAlign w:val="center"/>
            <w:hideMark/>
          </w:tcPr>
          <w:p w14:paraId="4D7C2F07" w14:textId="53BCD94C"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AP-3 has been </w:t>
            </w:r>
            <w:r w:rsidR="00080B88" w:rsidRPr="00C55815">
              <w:rPr>
                <w:rFonts w:ascii="Calibri" w:eastAsia="Times New Roman" w:hAnsi="Calibri" w:cs="Calibri"/>
                <w:color w:val="000000"/>
                <w:sz w:val="20"/>
                <w:szCs w:val="20"/>
              </w:rPr>
              <w:t>closed in place with a</w:t>
            </w:r>
            <w:r w:rsidR="00080B88">
              <w:rPr>
                <w:rFonts w:ascii="Calibri" w:eastAsia="Times New Roman" w:hAnsi="Calibri" w:cs="Calibri"/>
                <w:color w:val="000000"/>
                <w:sz w:val="20"/>
                <w:szCs w:val="20"/>
              </w:rPr>
              <w:t>n</w:t>
            </w:r>
            <w:r w:rsidR="00080B88" w:rsidRPr="00C55815">
              <w:rPr>
                <w:rFonts w:ascii="Calibri" w:eastAsia="Times New Roman" w:hAnsi="Calibri" w:cs="Calibri"/>
                <w:color w:val="000000"/>
                <w:sz w:val="20"/>
                <w:szCs w:val="20"/>
              </w:rPr>
              <w:t xml:space="preserve"> engineered </w:t>
            </w:r>
            <w:r w:rsidR="00080B88">
              <w:rPr>
                <w:rFonts w:ascii="Calibri" w:eastAsia="Times New Roman" w:hAnsi="Calibri" w:cs="Calibri"/>
                <w:color w:val="000000"/>
                <w:sz w:val="20"/>
                <w:szCs w:val="20"/>
              </w:rPr>
              <w:t xml:space="preserve">impermeable </w:t>
            </w:r>
            <w:r w:rsidR="00080B88" w:rsidRPr="00C55815">
              <w:rPr>
                <w:rFonts w:ascii="Calibri" w:eastAsia="Times New Roman" w:hAnsi="Calibri" w:cs="Calibri"/>
                <w:color w:val="000000"/>
                <w:sz w:val="20"/>
                <w:szCs w:val="20"/>
              </w:rPr>
              <w:t>cap-cover system</w:t>
            </w:r>
            <w:r w:rsidRPr="00C55815">
              <w:rPr>
                <w:rFonts w:ascii="Calibri" w:eastAsia="Times New Roman" w:hAnsi="Calibri" w:cs="Calibri"/>
                <w:color w:val="000000"/>
                <w:sz w:val="20"/>
                <w:szCs w:val="20"/>
              </w:rPr>
              <w:t xml:space="preserve">. Consistent with the post-closure plan, a TreeWell® system </w:t>
            </w:r>
            <w:r>
              <w:rPr>
                <w:rFonts w:ascii="Calibri" w:eastAsia="Times New Roman" w:hAnsi="Calibri" w:cs="Calibri"/>
                <w:color w:val="000000"/>
                <w:sz w:val="20"/>
                <w:szCs w:val="20"/>
              </w:rPr>
              <w:t>is planned</w:t>
            </w:r>
            <w:r w:rsidRPr="00C55815">
              <w:rPr>
                <w:rFonts w:ascii="Calibri" w:eastAsia="Times New Roman" w:hAnsi="Calibri" w:cs="Calibri"/>
                <w:color w:val="000000"/>
                <w:sz w:val="20"/>
                <w:szCs w:val="20"/>
              </w:rPr>
              <w:t xml:space="preserve"> outside and downgradient of the CCR footprint.</w:t>
            </w:r>
          </w:p>
        </w:tc>
      </w:tr>
      <w:tr w:rsidR="0046420C" w:rsidRPr="00C55815" w14:paraId="1F3BC37D" w14:textId="77777777" w:rsidTr="00D447DB">
        <w:trPr>
          <w:trHeight w:val="557"/>
          <w:jc w:val="center"/>
        </w:trPr>
        <w:tc>
          <w:tcPr>
            <w:tcW w:w="1255" w:type="dxa"/>
            <w:vMerge/>
            <w:vAlign w:val="center"/>
            <w:hideMark/>
          </w:tcPr>
          <w:p w14:paraId="17B07D0F"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68BA5D7F"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50A1C20E"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AP-4</w:t>
            </w:r>
          </w:p>
        </w:tc>
        <w:tc>
          <w:tcPr>
            <w:tcW w:w="6440" w:type="dxa"/>
            <w:shd w:val="clear" w:color="auto" w:fill="auto"/>
            <w:vAlign w:val="center"/>
            <w:hideMark/>
          </w:tcPr>
          <w:p w14:paraId="689E62A8" w14:textId="626BA620"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AP-4 will be closed by removal to a Company-owned off</w:t>
            </w:r>
            <w:r w:rsidR="004B2C3A">
              <w:rPr>
                <w:rFonts w:ascii="Calibri" w:eastAsia="Times New Roman" w:hAnsi="Calibri" w:cs="Calibri"/>
                <w:color w:val="000000"/>
                <w:sz w:val="20"/>
                <w:szCs w:val="20"/>
              </w:rPr>
              <w:t>-</w:t>
            </w:r>
            <w:r w:rsidRPr="00C55815">
              <w:rPr>
                <w:rFonts w:ascii="Calibri" w:eastAsia="Times New Roman" w:hAnsi="Calibri" w:cs="Calibri"/>
                <w:color w:val="000000"/>
                <w:sz w:val="20"/>
                <w:szCs w:val="20"/>
              </w:rPr>
              <w:t xml:space="preserve">site permitted landfill (Huffaker Road).  </w:t>
            </w:r>
          </w:p>
        </w:tc>
      </w:tr>
      <w:tr w:rsidR="0046420C" w:rsidRPr="00C55815" w14:paraId="30D2663B" w14:textId="77777777" w:rsidTr="00D447DB">
        <w:trPr>
          <w:trHeight w:val="780"/>
          <w:jc w:val="center"/>
        </w:trPr>
        <w:tc>
          <w:tcPr>
            <w:tcW w:w="1255" w:type="dxa"/>
            <w:vMerge/>
            <w:vAlign w:val="center"/>
            <w:hideMark/>
          </w:tcPr>
          <w:p w14:paraId="52C760EF"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45DE9873"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Huffaker Rd</w:t>
            </w:r>
          </w:p>
        </w:tc>
        <w:tc>
          <w:tcPr>
            <w:tcW w:w="1215" w:type="dxa"/>
            <w:shd w:val="clear" w:color="auto" w:fill="auto"/>
            <w:vAlign w:val="center"/>
            <w:hideMark/>
          </w:tcPr>
          <w:p w14:paraId="078B55A3"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07610A3C" w14:textId="0901ADEB"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The </w:t>
            </w:r>
            <w:r>
              <w:rPr>
                <w:rFonts w:ascii="Calibri" w:eastAsia="Times New Roman" w:hAnsi="Calibri" w:cs="Calibri"/>
                <w:color w:val="000000"/>
                <w:sz w:val="20"/>
                <w:szCs w:val="20"/>
              </w:rPr>
              <w:t>permitted</w:t>
            </w:r>
            <w:r w:rsidRPr="00C55815">
              <w:rPr>
                <w:rFonts w:ascii="Calibri" w:eastAsia="Times New Roman" w:hAnsi="Calibri" w:cs="Calibri"/>
                <w:color w:val="000000"/>
                <w:sz w:val="20"/>
                <w:szCs w:val="20"/>
              </w:rPr>
              <w:t xml:space="preserve"> landfill will </w:t>
            </w:r>
            <w:r w:rsidR="000F62CF" w:rsidRPr="00C55815">
              <w:rPr>
                <w:rFonts w:ascii="Calibri" w:eastAsia="Times New Roman" w:hAnsi="Calibri" w:cs="Calibri"/>
                <w:color w:val="000000"/>
                <w:sz w:val="20"/>
                <w:szCs w:val="20"/>
              </w:rPr>
              <w:t>be expanded and then closed</w:t>
            </w:r>
            <w:r w:rsidRPr="00C55815">
              <w:rPr>
                <w:rFonts w:ascii="Calibri" w:eastAsia="Times New Roman" w:hAnsi="Calibri" w:cs="Calibri"/>
                <w:color w:val="000000"/>
                <w:sz w:val="20"/>
                <w:szCs w:val="20"/>
              </w:rPr>
              <w:t xml:space="preserve"> when permitted capacity is reached or when CCR disposal is no longer needed.</w:t>
            </w:r>
            <w:r w:rsidR="000F62CF">
              <w:rPr>
                <w:rFonts w:ascii="Calibri" w:eastAsia="Times New Roman" w:hAnsi="Calibri" w:cs="Calibri"/>
                <w:color w:val="000000"/>
                <w:sz w:val="20"/>
                <w:szCs w:val="20"/>
              </w:rPr>
              <w:t xml:space="preserve"> </w:t>
            </w:r>
            <w:r w:rsidR="000F62CF" w:rsidRPr="00C55815">
              <w:rPr>
                <w:rFonts w:ascii="Calibri" w:eastAsia="Times New Roman" w:hAnsi="Calibri" w:cs="Calibri"/>
                <w:color w:val="000000"/>
                <w:sz w:val="20"/>
                <w:szCs w:val="20"/>
              </w:rPr>
              <w:t xml:space="preserve"> </w:t>
            </w:r>
          </w:p>
        </w:tc>
      </w:tr>
      <w:tr w:rsidR="0046420C" w:rsidRPr="00C55815" w14:paraId="71E17402" w14:textId="77777777" w:rsidTr="00D447DB">
        <w:trPr>
          <w:trHeight w:val="908"/>
          <w:jc w:val="center"/>
        </w:trPr>
        <w:tc>
          <w:tcPr>
            <w:tcW w:w="1255" w:type="dxa"/>
            <w:vMerge w:val="restart"/>
            <w:shd w:val="clear" w:color="auto" w:fill="auto"/>
            <w:noWrap/>
            <w:vAlign w:val="center"/>
            <w:hideMark/>
          </w:tcPr>
          <w:p w14:paraId="12A8B563"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Kraft</w:t>
            </w:r>
          </w:p>
        </w:tc>
        <w:tc>
          <w:tcPr>
            <w:tcW w:w="1255" w:type="dxa"/>
            <w:shd w:val="clear" w:color="auto" w:fill="auto"/>
            <w:vAlign w:val="center"/>
            <w:hideMark/>
          </w:tcPr>
          <w:p w14:paraId="6D43432C"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4874CF44"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p>
        </w:tc>
        <w:tc>
          <w:tcPr>
            <w:tcW w:w="6440" w:type="dxa"/>
            <w:shd w:val="clear" w:color="auto" w:fill="auto"/>
            <w:vAlign w:val="center"/>
            <w:hideMark/>
          </w:tcPr>
          <w:p w14:paraId="44404D47"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AP-1 was closed by removal to offsite permitted landfills prior to the Georgia CCR Rule. The removal was part of an expanded plant retirement project and was regulated by Georgia EPD’s Response and Remediation Program.   </w:t>
            </w:r>
          </w:p>
        </w:tc>
      </w:tr>
      <w:tr w:rsidR="0046420C" w:rsidRPr="00C55815" w14:paraId="2DE9555A" w14:textId="77777777" w:rsidTr="00D447DB">
        <w:trPr>
          <w:trHeight w:val="305"/>
          <w:jc w:val="center"/>
        </w:trPr>
        <w:tc>
          <w:tcPr>
            <w:tcW w:w="1255" w:type="dxa"/>
            <w:vMerge/>
            <w:vAlign w:val="center"/>
            <w:hideMark/>
          </w:tcPr>
          <w:p w14:paraId="712C5B0C"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4DADD1F8"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Grumman Rd</w:t>
            </w:r>
          </w:p>
        </w:tc>
        <w:tc>
          <w:tcPr>
            <w:tcW w:w="1215" w:type="dxa"/>
            <w:shd w:val="clear" w:color="auto" w:fill="auto"/>
            <w:vAlign w:val="center"/>
            <w:hideMark/>
          </w:tcPr>
          <w:p w14:paraId="205D059E"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2BAD2ECE" w14:textId="1FD8A5AD" w:rsidR="0046420C" w:rsidRPr="00C55815" w:rsidRDefault="009F4021" w:rsidP="00D34716">
            <w:pPr>
              <w:spacing w:before="120" w:after="0" w:line="240" w:lineRule="auto"/>
              <w:rPr>
                <w:rFonts w:ascii="Calibri" w:eastAsia="Times New Roman" w:hAnsi="Calibri" w:cs="Calibri"/>
                <w:color w:val="000000"/>
                <w:sz w:val="20"/>
                <w:szCs w:val="20"/>
              </w:rPr>
            </w:pPr>
            <w:r>
              <w:rPr>
                <w:rStyle w:val="cf01"/>
              </w:rPr>
              <w:t>The landfill</w:t>
            </w:r>
            <w:r w:rsidR="00D258A7">
              <w:rPr>
                <w:rStyle w:val="cf01"/>
              </w:rPr>
              <w:t xml:space="preserve"> w</w:t>
            </w:r>
            <w:r>
              <w:rPr>
                <w:rStyle w:val="cf01"/>
              </w:rPr>
              <w:t>as closed in accordance with its current landfill permit requirements. Permitting for closure under the CCR regulations is ongoing.</w:t>
            </w:r>
          </w:p>
        </w:tc>
      </w:tr>
      <w:tr w:rsidR="00D447DB" w:rsidRPr="00C55815" w14:paraId="49968AAE" w14:textId="77777777" w:rsidTr="00D447DB">
        <w:trPr>
          <w:trHeight w:val="305"/>
          <w:jc w:val="center"/>
        </w:trPr>
        <w:tc>
          <w:tcPr>
            <w:tcW w:w="1255" w:type="dxa"/>
            <w:vMerge w:val="restart"/>
            <w:tcBorders>
              <w:top w:val="single" w:sz="4" w:space="0" w:color="auto"/>
              <w:left w:val="single" w:sz="4" w:space="0" w:color="auto"/>
              <w:right w:val="single" w:sz="4" w:space="0" w:color="auto"/>
            </w:tcBorders>
            <w:shd w:val="clear" w:color="auto" w:fill="auto"/>
            <w:vAlign w:val="center"/>
          </w:tcPr>
          <w:p w14:paraId="6B7C203B" w14:textId="77777777" w:rsidR="00D447DB" w:rsidRPr="00FC49AB" w:rsidRDefault="00D447DB" w:rsidP="00D34716">
            <w:pPr>
              <w:spacing w:before="120" w:after="0" w:line="240" w:lineRule="auto"/>
              <w:jc w:val="left"/>
              <w:rPr>
                <w:rFonts w:ascii="Calibri" w:eastAsia="Times New Roman" w:hAnsi="Calibri" w:cs="Calibri"/>
                <w:color w:val="000000"/>
                <w:sz w:val="20"/>
                <w:szCs w:val="20"/>
              </w:rPr>
            </w:pPr>
            <w:r w:rsidRPr="00FC49AB">
              <w:rPr>
                <w:rFonts w:ascii="Calibri" w:eastAsia="Times New Roman" w:hAnsi="Calibri" w:cs="Calibri"/>
                <w:color w:val="000000"/>
                <w:sz w:val="20"/>
                <w:szCs w:val="20"/>
              </w:rPr>
              <w:t>McDonough</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3ED5CAA" w14:textId="77777777" w:rsidR="00D447DB" w:rsidRPr="00C55815" w:rsidRDefault="00D447DB"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08A886" w14:textId="77777777" w:rsidR="00D447DB" w:rsidRPr="00C55815" w:rsidRDefault="00D447DB"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B35CA16" w14:textId="0EBD0CE9" w:rsidR="00D447DB" w:rsidRPr="00C55815" w:rsidRDefault="00D447DB"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AP-1 </w:t>
            </w:r>
            <w:r>
              <w:rPr>
                <w:rFonts w:ascii="Calibri" w:eastAsia="Times New Roman" w:hAnsi="Calibri" w:cs="Calibri"/>
                <w:color w:val="000000"/>
                <w:sz w:val="20"/>
                <w:szCs w:val="20"/>
              </w:rPr>
              <w:t xml:space="preserve">was largely </w:t>
            </w:r>
            <w:r w:rsidRPr="00C55815">
              <w:rPr>
                <w:rFonts w:ascii="Calibri" w:eastAsia="Times New Roman" w:hAnsi="Calibri" w:cs="Calibri"/>
                <w:color w:val="000000"/>
                <w:sz w:val="20"/>
                <w:szCs w:val="20"/>
              </w:rPr>
              <w:t xml:space="preserve">closed in place with installation of a geosynthetic cap cover system </w:t>
            </w:r>
            <w:r>
              <w:rPr>
                <w:rFonts w:ascii="Calibri" w:eastAsia="Times New Roman" w:hAnsi="Calibri" w:cs="Calibri"/>
                <w:color w:val="000000"/>
                <w:sz w:val="20"/>
                <w:szCs w:val="20"/>
              </w:rPr>
              <w:t>in 2017, consistent with the closure plans,</w:t>
            </w:r>
            <w:r w:rsidRPr="00C55815">
              <w:rPr>
                <w:rFonts w:ascii="Calibri" w:eastAsia="Times New Roman" w:hAnsi="Calibri" w:cs="Calibri"/>
                <w:color w:val="000000"/>
                <w:sz w:val="20"/>
                <w:szCs w:val="20"/>
              </w:rPr>
              <w:t xml:space="preserve"> the installation of a </w:t>
            </w:r>
            <w:r>
              <w:rPr>
                <w:rFonts w:ascii="Calibri" w:eastAsia="Times New Roman" w:hAnsi="Calibri" w:cs="Calibri"/>
                <w:color w:val="000000"/>
                <w:sz w:val="20"/>
                <w:szCs w:val="20"/>
              </w:rPr>
              <w:t xml:space="preserve">fully encompassing </w:t>
            </w:r>
            <w:r w:rsidRPr="00C55815">
              <w:rPr>
                <w:rFonts w:ascii="Calibri" w:eastAsia="Times New Roman" w:hAnsi="Calibri" w:cs="Calibri"/>
                <w:color w:val="000000"/>
                <w:sz w:val="20"/>
                <w:szCs w:val="20"/>
              </w:rPr>
              <w:t xml:space="preserve">barrier wall </w:t>
            </w:r>
            <w:r>
              <w:rPr>
                <w:rFonts w:ascii="Calibri" w:eastAsia="Times New Roman" w:hAnsi="Calibri" w:cs="Calibri"/>
                <w:color w:val="000000"/>
                <w:sz w:val="20"/>
                <w:szCs w:val="20"/>
              </w:rPr>
              <w:t xml:space="preserve">is planned following final design approval through permit issuance. </w:t>
            </w:r>
            <w:r w:rsidRPr="00C55815">
              <w:rPr>
                <w:rFonts w:ascii="Calibri" w:eastAsia="Times New Roman" w:hAnsi="Calibri" w:cs="Calibri"/>
                <w:color w:val="000000"/>
                <w:sz w:val="20"/>
                <w:szCs w:val="20"/>
              </w:rPr>
              <w:t xml:space="preserve"> </w:t>
            </w:r>
          </w:p>
        </w:tc>
      </w:tr>
      <w:tr w:rsidR="00D447DB" w:rsidRPr="00C55815" w14:paraId="306C0FA4" w14:textId="77777777" w:rsidTr="00D447DB">
        <w:trPr>
          <w:trHeight w:val="305"/>
          <w:jc w:val="center"/>
        </w:trPr>
        <w:tc>
          <w:tcPr>
            <w:tcW w:w="1255" w:type="dxa"/>
            <w:vMerge/>
            <w:tcBorders>
              <w:left w:val="single" w:sz="4" w:space="0" w:color="auto"/>
              <w:right w:val="single" w:sz="4" w:space="0" w:color="auto"/>
            </w:tcBorders>
            <w:shd w:val="clear" w:color="auto" w:fill="auto"/>
            <w:vAlign w:val="center"/>
          </w:tcPr>
          <w:p w14:paraId="2F530323" w14:textId="77777777" w:rsidR="00D447DB" w:rsidRPr="00C55815" w:rsidRDefault="00D447DB" w:rsidP="00D34716">
            <w:pPr>
              <w:spacing w:before="120" w:after="0" w:line="240" w:lineRule="auto"/>
              <w:jc w:val="left"/>
              <w:rPr>
                <w:rFonts w:ascii="Calibri" w:eastAsia="Times New Roman" w:hAnsi="Calibri" w:cs="Calibri"/>
                <w:color w:val="000000"/>
              </w:rPr>
            </w:pP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EAC2BF6" w14:textId="77777777" w:rsidR="00D447DB" w:rsidRPr="00C55815" w:rsidRDefault="00D447DB"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1F3277" w14:textId="77777777" w:rsidR="00D447DB" w:rsidRPr="00C55815" w:rsidRDefault="00D447DB"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1DDFDE9E" w14:textId="4CAB99FE" w:rsidR="00D447DB" w:rsidRPr="00C55815" w:rsidRDefault="00D447DB"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AP-2 has been removed and the </w:t>
            </w:r>
            <w:r>
              <w:rPr>
                <w:rFonts w:ascii="Calibri" w:eastAsia="Times New Roman" w:hAnsi="Calibri" w:cs="Calibri"/>
                <w:color w:val="000000"/>
                <w:sz w:val="20"/>
                <w:szCs w:val="20"/>
              </w:rPr>
              <w:t>CCR</w:t>
            </w:r>
            <w:r w:rsidRPr="00C55815">
              <w:rPr>
                <w:rFonts w:ascii="Calibri" w:eastAsia="Times New Roman" w:hAnsi="Calibri" w:cs="Calibri"/>
                <w:color w:val="000000"/>
                <w:sz w:val="20"/>
                <w:szCs w:val="20"/>
              </w:rPr>
              <w:t xml:space="preserve"> consolidated with AP-1 and AP-3&amp;4. </w:t>
            </w:r>
          </w:p>
        </w:tc>
      </w:tr>
      <w:tr w:rsidR="0046420C" w:rsidRPr="00C55815" w14:paraId="29677D70" w14:textId="77777777" w:rsidTr="00D447DB">
        <w:trPr>
          <w:trHeight w:val="305"/>
          <w:jc w:val="center"/>
        </w:trPr>
        <w:tc>
          <w:tcPr>
            <w:tcW w:w="1255" w:type="dxa"/>
            <w:tcBorders>
              <w:left w:val="single" w:sz="4" w:space="0" w:color="auto"/>
              <w:bottom w:val="single" w:sz="4" w:space="0" w:color="auto"/>
              <w:right w:val="single" w:sz="4" w:space="0" w:color="auto"/>
            </w:tcBorders>
            <w:shd w:val="clear" w:color="auto" w:fill="auto"/>
            <w:vAlign w:val="center"/>
          </w:tcPr>
          <w:p w14:paraId="3CA0E1EB" w14:textId="66B402C5" w:rsidR="0046420C" w:rsidRPr="00C55815" w:rsidRDefault="00D447DB" w:rsidP="00D34716">
            <w:pPr>
              <w:spacing w:before="120" w:after="0" w:line="240" w:lineRule="auto"/>
              <w:jc w:val="left"/>
              <w:rPr>
                <w:rFonts w:ascii="Calibri" w:eastAsia="Times New Roman" w:hAnsi="Calibri" w:cs="Calibri"/>
                <w:color w:val="000000"/>
              </w:rPr>
            </w:pPr>
            <w:r w:rsidRPr="005B6FC1">
              <w:rPr>
                <w:rFonts w:ascii="Calibri" w:eastAsia="Times New Roman" w:hAnsi="Calibri" w:cs="Calibri"/>
                <w:color w:val="000000"/>
                <w:sz w:val="20"/>
                <w:szCs w:val="20"/>
              </w:rPr>
              <w:lastRenderedPageBreak/>
              <w:t>McDonough</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0307B7F6"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A2905B3"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AP-3 &amp; AP-4</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2CC79BF" w14:textId="2FF6459A"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AP-3 &amp; AP-4 are being consolidated and </w:t>
            </w:r>
            <w:r w:rsidR="007F0E80" w:rsidRPr="00C55815">
              <w:rPr>
                <w:rFonts w:ascii="Calibri" w:eastAsia="Times New Roman" w:hAnsi="Calibri" w:cs="Calibri"/>
                <w:color w:val="000000"/>
                <w:sz w:val="20"/>
                <w:szCs w:val="20"/>
              </w:rPr>
              <w:t>closed in place with a</w:t>
            </w:r>
            <w:r w:rsidR="007F0E80">
              <w:rPr>
                <w:rFonts w:ascii="Calibri" w:eastAsia="Times New Roman" w:hAnsi="Calibri" w:cs="Calibri"/>
                <w:color w:val="000000"/>
                <w:sz w:val="20"/>
                <w:szCs w:val="20"/>
              </w:rPr>
              <w:t>n</w:t>
            </w:r>
            <w:r w:rsidR="007F0E80" w:rsidRPr="00C55815">
              <w:rPr>
                <w:rFonts w:ascii="Calibri" w:eastAsia="Times New Roman" w:hAnsi="Calibri" w:cs="Calibri"/>
                <w:color w:val="000000"/>
                <w:sz w:val="20"/>
                <w:szCs w:val="20"/>
              </w:rPr>
              <w:t xml:space="preserve"> engineered </w:t>
            </w:r>
            <w:r w:rsidR="007F0E80">
              <w:rPr>
                <w:rFonts w:ascii="Calibri" w:eastAsia="Times New Roman" w:hAnsi="Calibri" w:cs="Calibri"/>
                <w:color w:val="000000"/>
                <w:sz w:val="20"/>
                <w:szCs w:val="20"/>
              </w:rPr>
              <w:t xml:space="preserve">impermeable </w:t>
            </w:r>
            <w:r w:rsidR="007F0E80" w:rsidRPr="00C55815">
              <w:rPr>
                <w:rFonts w:ascii="Calibri" w:eastAsia="Times New Roman" w:hAnsi="Calibri" w:cs="Calibri"/>
                <w:color w:val="000000"/>
                <w:sz w:val="20"/>
                <w:szCs w:val="20"/>
              </w:rPr>
              <w:t>cap-cover system.</w:t>
            </w:r>
            <w:r w:rsidRPr="00C55815">
              <w:rPr>
                <w:rFonts w:ascii="Calibri" w:eastAsia="Times New Roman" w:hAnsi="Calibri" w:cs="Calibri"/>
                <w:color w:val="000000"/>
                <w:sz w:val="20"/>
                <w:szCs w:val="20"/>
              </w:rPr>
              <w:t xml:space="preserve"> Consistent with closure plans, closure construction includes an underslope drainage system and the continued </w:t>
            </w:r>
            <w:r>
              <w:rPr>
                <w:rFonts w:ascii="Calibri" w:eastAsia="Times New Roman" w:hAnsi="Calibri" w:cs="Calibri"/>
                <w:color w:val="000000"/>
                <w:sz w:val="20"/>
                <w:szCs w:val="20"/>
              </w:rPr>
              <w:t xml:space="preserve">interim </w:t>
            </w:r>
            <w:r w:rsidRPr="00C55815">
              <w:rPr>
                <w:rFonts w:ascii="Calibri" w:eastAsia="Times New Roman" w:hAnsi="Calibri" w:cs="Calibri"/>
                <w:color w:val="000000"/>
                <w:sz w:val="20"/>
                <w:szCs w:val="20"/>
              </w:rPr>
              <w:t xml:space="preserve">use of </w:t>
            </w:r>
            <w:r w:rsidR="008A676E">
              <w:rPr>
                <w:rFonts w:ascii="Calibri" w:eastAsia="Times New Roman" w:hAnsi="Calibri" w:cs="Calibri"/>
                <w:color w:val="000000"/>
                <w:sz w:val="20"/>
                <w:szCs w:val="20"/>
              </w:rPr>
              <w:t>pumping</w:t>
            </w:r>
            <w:r w:rsidR="003E143C" w:rsidRPr="00C55815">
              <w:rPr>
                <w:rFonts w:ascii="Calibri" w:eastAsia="Times New Roman" w:hAnsi="Calibri" w:cs="Calibri"/>
                <w:color w:val="000000"/>
                <w:sz w:val="20"/>
                <w:szCs w:val="20"/>
              </w:rPr>
              <w:t xml:space="preserve"> </w:t>
            </w:r>
            <w:r w:rsidRPr="00C55815">
              <w:rPr>
                <w:rFonts w:ascii="Calibri" w:eastAsia="Times New Roman" w:hAnsi="Calibri" w:cs="Calibri"/>
                <w:color w:val="000000"/>
                <w:sz w:val="20"/>
                <w:szCs w:val="20"/>
              </w:rPr>
              <w:t xml:space="preserve">wells. </w:t>
            </w:r>
          </w:p>
        </w:tc>
      </w:tr>
      <w:tr w:rsidR="0046420C" w:rsidRPr="00C55815" w14:paraId="7B7CBF06" w14:textId="77777777" w:rsidTr="00D447DB">
        <w:trPr>
          <w:trHeight w:val="520"/>
          <w:jc w:val="center"/>
        </w:trPr>
        <w:tc>
          <w:tcPr>
            <w:tcW w:w="1255" w:type="dxa"/>
            <w:vMerge w:val="restart"/>
            <w:shd w:val="clear" w:color="auto" w:fill="auto"/>
            <w:noWrap/>
            <w:vAlign w:val="center"/>
            <w:hideMark/>
          </w:tcPr>
          <w:p w14:paraId="760E6444"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McIntosh</w:t>
            </w:r>
          </w:p>
        </w:tc>
        <w:tc>
          <w:tcPr>
            <w:tcW w:w="1255" w:type="dxa"/>
            <w:shd w:val="clear" w:color="auto" w:fill="auto"/>
            <w:vAlign w:val="center"/>
            <w:hideMark/>
          </w:tcPr>
          <w:p w14:paraId="21297732"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4ECE819F"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p>
        </w:tc>
        <w:tc>
          <w:tcPr>
            <w:tcW w:w="6440" w:type="dxa"/>
            <w:shd w:val="clear" w:color="auto" w:fill="auto"/>
            <w:vAlign w:val="center"/>
            <w:hideMark/>
          </w:tcPr>
          <w:p w14:paraId="634F7D09" w14:textId="0FA92A53"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AP-1 has been closed by removal with </w:t>
            </w:r>
            <w:r w:rsidR="007666AE">
              <w:rPr>
                <w:rFonts w:ascii="Calibri" w:eastAsia="Times New Roman" w:hAnsi="Calibri" w:cs="Calibri"/>
                <w:color w:val="000000"/>
                <w:sz w:val="20"/>
                <w:szCs w:val="20"/>
              </w:rPr>
              <w:t xml:space="preserve">CCR </w:t>
            </w:r>
            <w:r w:rsidRPr="00C55815">
              <w:rPr>
                <w:rFonts w:ascii="Calibri" w:eastAsia="Times New Roman" w:hAnsi="Calibri" w:cs="Calibri"/>
                <w:color w:val="000000"/>
                <w:sz w:val="20"/>
                <w:szCs w:val="20"/>
              </w:rPr>
              <w:t xml:space="preserve">placed in a permitted on-site landfill. </w:t>
            </w:r>
          </w:p>
        </w:tc>
      </w:tr>
      <w:tr w:rsidR="0046420C" w:rsidRPr="00C55815" w14:paraId="21D13F39" w14:textId="77777777" w:rsidTr="00D447DB">
        <w:trPr>
          <w:trHeight w:val="520"/>
          <w:jc w:val="center"/>
        </w:trPr>
        <w:tc>
          <w:tcPr>
            <w:tcW w:w="1255" w:type="dxa"/>
            <w:vMerge/>
            <w:vAlign w:val="center"/>
            <w:hideMark/>
          </w:tcPr>
          <w:p w14:paraId="7BB93393"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0AFC8BE9"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LF3</w:t>
            </w:r>
          </w:p>
        </w:tc>
        <w:tc>
          <w:tcPr>
            <w:tcW w:w="1215" w:type="dxa"/>
            <w:shd w:val="clear" w:color="auto" w:fill="auto"/>
            <w:vAlign w:val="center"/>
            <w:hideMark/>
          </w:tcPr>
          <w:p w14:paraId="159026B7"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5629EF61" w14:textId="2FFF8003"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The landfill was closed in accordance with the landfill permit</w:t>
            </w:r>
            <w:r w:rsidR="00442799">
              <w:rPr>
                <w:rFonts w:ascii="Calibri" w:eastAsia="Times New Roman" w:hAnsi="Calibri" w:cs="Calibri"/>
                <w:color w:val="000000"/>
                <w:sz w:val="20"/>
                <w:szCs w:val="20"/>
              </w:rPr>
              <w:t xml:space="preserve"> </w:t>
            </w:r>
            <w:r w:rsidR="00442799" w:rsidRPr="00C55815">
              <w:rPr>
                <w:rFonts w:ascii="Calibri" w:eastAsia="Times New Roman" w:hAnsi="Calibri" w:cs="Calibri"/>
                <w:color w:val="000000"/>
                <w:sz w:val="20"/>
                <w:szCs w:val="20"/>
              </w:rPr>
              <w:t>in 2008</w:t>
            </w:r>
            <w:r w:rsidR="00284128">
              <w:rPr>
                <w:rFonts w:ascii="Calibri" w:eastAsia="Times New Roman" w:hAnsi="Calibri" w:cs="Calibri"/>
                <w:color w:val="000000"/>
                <w:sz w:val="20"/>
                <w:szCs w:val="20"/>
              </w:rPr>
              <w:t>.</w:t>
            </w:r>
          </w:p>
        </w:tc>
      </w:tr>
      <w:tr w:rsidR="0046420C" w:rsidRPr="00C55815" w14:paraId="145C0200" w14:textId="77777777" w:rsidTr="00D447DB">
        <w:trPr>
          <w:trHeight w:val="476"/>
          <w:jc w:val="center"/>
        </w:trPr>
        <w:tc>
          <w:tcPr>
            <w:tcW w:w="1255" w:type="dxa"/>
            <w:vMerge/>
            <w:vAlign w:val="center"/>
            <w:hideMark/>
          </w:tcPr>
          <w:p w14:paraId="73731F28"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227F3D3D"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LF4</w:t>
            </w:r>
          </w:p>
        </w:tc>
        <w:tc>
          <w:tcPr>
            <w:tcW w:w="1215" w:type="dxa"/>
            <w:shd w:val="clear" w:color="auto" w:fill="auto"/>
            <w:vAlign w:val="center"/>
            <w:hideMark/>
          </w:tcPr>
          <w:p w14:paraId="065D22CF"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3E0D03EA" w14:textId="55CCFB3C"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The </w:t>
            </w:r>
            <w:r>
              <w:rPr>
                <w:rFonts w:ascii="Calibri" w:eastAsia="Times New Roman" w:hAnsi="Calibri" w:cs="Calibri"/>
                <w:color w:val="000000"/>
                <w:sz w:val="20"/>
                <w:szCs w:val="20"/>
              </w:rPr>
              <w:t>permitted</w:t>
            </w:r>
            <w:r w:rsidRPr="00C55815">
              <w:rPr>
                <w:rFonts w:ascii="Calibri" w:eastAsia="Times New Roman" w:hAnsi="Calibri" w:cs="Calibri"/>
                <w:color w:val="000000"/>
                <w:sz w:val="20"/>
                <w:szCs w:val="20"/>
              </w:rPr>
              <w:t xml:space="preserve"> landfill </w:t>
            </w:r>
            <w:r w:rsidR="00A56CDF">
              <w:rPr>
                <w:rFonts w:ascii="Calibri" w:eastAsia="Times New Roman" w:hAnsi="Calibri" w:cs="Calibri"/>
                <w:color w:val="000000"/>
                <w:sz w:val="20"/>
                <w:szCs w:val="20"/>
              </w:rPr>
              <w:t>is permitted to</w:t>
            </w:r>
            <w:r w:rsidRPr="00C55815">
              <w:rPr>
                <w:rFonts w:ascii="Calibri" w:eastAsia="Times New Roman" w:hAnsi="Calibri" w:cs="Calibri"/>
                <w:color w:val="000000"/>
                <w:sz w:val="20"/>
                <w:szCs w:val="20"/>
              </w:rPr>
              <w:t xml:space="preserve"> receive CCR as needed. The landfill will undergo final closure when CCR disposal is no longer needed.</w:t>
            </w:r>
          </w:p>
        </w:tc>
      </w:tr>
      <w:tr w:rsidR="0046420C" w:rsidRPr="00C55815" w14:paraId="332F8CB7" w14:textId="77777777" w:rsidTr="00D447DB">
        <w:trPr>
          <w:trHeight w:val="520"/>
          <w:jc w:val="center"/>
        </w:trPr>
        <w:tc>
          <w:tcPr>
            <w:tcW w:w="1255" w:type="dxa"/>
            <w:shd w:val="clear" w:color="auto" w:fill="auto"/>
            <w:noWrap/>
            <w:vAlign w:val="center"/>
            <w:hideMark/>
          </w:tcPr>
          <w:p w14:paraId="28C5733F"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McManus</w:t>
            </w:r>
          </w:p>
        </w:tc>
        <w:tc>
          <w:tcPr>
            <w:tcW w:w="1255" w:type="dxa"/>
            <w:shd w:val="clear" w:color="auto" w:fill="auto"/>
            <w:vAlign w:val="center"/>
            <w:hideMark/>
          </w:tcPr>
          <w:p w14:paraId="39E30909"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55DE6D3E"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p>
        </w:tc>
        <w:tc>
          <w:tcPr>
            <w:tcW w:w="6440" w:type="dxa"/>
            <w:shd w:val="clear" w:color="auto" w:fill="auto"/>
            <w:vAlign w:val="center"/>
            <w:hideMark/>
          </w:tcPr>
          <w:p w14:paraId="5111CE98" w14:textId="67C96434"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AP-1 has been closed by removal with CCR placed in an off-site permitted landfill. </w:t>
            </w:r>
          </w:p>
        </w:tc>
      </w:tr>
      <w:tr w:rsidR="0046420C" w:rsidRPr="00C55815" w14:paraId="125FB9DB" w14:textId="77777777" w:rsidTr="00D447DB">
        <w:trPr>
          <w:trHeight w:val="290"/>
          <w:jc w:val="center"/>
        </w:trPr>
        <w:tc>
          <w:tcPr>
            <w:tcW w:w="1255" w:type="dxa"/>
            <w:shd w:val="clear" w:color="auto" w:fill="auto"/>
            <w:noWrap/>
            <w:vAlign w:val="center"/>
            <w:hideMark/>
          </w:tcPr>
          <w:p w14:paraId="423606BF"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Mitchell</w:t>
            </w:r>
          </w:p>
        </w:tc>
        <w:tc>
          <w:tcPr>
            <w:tcW w:w="1255" w:type="dxa"/>
            <w:shd w:val="clear" w:color="auto" w:fill="auto"/>
            <w:vAlign w:val="center"/>
            <w:hideMark/>
          </w:tcPr>
          <w:p w14:paraId="2DADA50E"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noWrap/>
            <w:vAlign w:val="center"/>
            <w:hideMark/>
          </w:tcPr>
          <w:p w14:paraId="79A1D17D"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AP-A, 1, 2</w:t>
            </w:r>
          </w:p>
        </w:tc>
        <w:tc>
          <w:tcPr>
            <w:tcW w:w="6440" w:type="dxa"/>
            <w:shd w:val="clear" w:color="auto" w:fill="auto"/>
            <w:vAlign w:val="center"/>
            <w:hideMark/>
          </w:tcPr>
          <w:p w14:paraId="4FEEAC95" w14:textId="17B48A9A"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AP-A, 1, and 2 are being closed by removal </w:t>
            </w:r>
            <w:r w:rsidR="00154461">
              <w:rPr>
                <w:rFonts w:ascii="Calibri" w:eastAsia="Times New Roman" w:hAnsi="Calibri" w:cs="Calibri"/>
                <w:color w:val="000000"/>
                <w:sz w:val="20"/>
                <w:szCs w:val="20"/>
              </w:rPr>
              <w:t>with CCR transported offsite for beneficial use</w:t>
            </w:r>
            <w:r w:rsidR="00037E8F">
              <w:rPr>
                <w:rFonts w:ascii="Calibri" w:eastAsia="Times New Roman" w:hAnsi="Calibri" w:cs="Calibri"/>
                <w:color w:val="000000"/>
                <w:sz w:val="20"/>
                <w:szCs w:val="20"/>
              </w:rPr>
              <w:t>, with ash</w:t>
            </w:r>
            <w:r w:rsidR="00154461">
              <w:rPr>
                <w:rFonts w:ascii="Calibri" w:eastAsia="Times New Roman" w:hAnsi="Calibri" w:cs="Calibri"/>
                <w:color w:val="000000"/>
                <w:sz w:val="20"/>
                <w:szCs w:val="20"/>
              </w:rPr>
              <w:t xml:space="preserve"> </w:t>
            </w:r>
            <w:r w:rsidR="00194BBE">
              <w:rPr>
                <w:rFonts w:ascii="Calibri" w:eastAsia="Times New Roman" w:hAnsi="Calibri" w:cs="Calibri"/>
                <w:color w:val="000000"/>
                <w:sz w:val="20"/>
                <w:szCs w:val="20"/>
              </w:rPr>
              <w:t>that does not meet beneficial use specifications</w:t>
            </w:r>
            <w:r w:rsidR="00154461">
              <w:rPr>
                <w:rFonts w:ascii="Calibri" w:eastAsia="Times New Roman" w:hAnsi="Calibri" w:cs="Calibri"/>
                <w:color w:val="000000"/>
                <w:sz w:val="20"/>
                <w:szCs w:val="20"/>
              </w:rPr>
              <w:t xml:space="preserve"> placed in a</w:t>
            </w:r>
            <w:r w:rsidR="00A2506C">
              <w:rPr>
                <w:rFonts w:ascii="Calibri" w:eastAsia="Times New Roman" w:hAnsi="Calibri" w:cs="Calibri"/>
                <w:color w:val="000000"/>
                <w:sz w:val="20"/>
                <w:szCs w:val="20"/>
              </w:rPr>
              <w:t>n off-site</w:t>
            </w:r>
            <w:r w:rsidR="00154461">
              <w:rPr>
                <w:rFonts w:ascii="Calibri" w:eastAsia="Times New Roman" w:hAnsi="Calibri" w:cs="Calibri"/>
                <w:color w:val="000000"/>
                <w:sz w:val="20"/>
                <w:szCs w:val="20"/>
              </w:rPr>
              <w:t xml:space="preserve"> permitted landfill.</w:t>
            </w:r>
          </w:p>
        </w:tc>
      </w:tr>
      <w:tr w:rsidR="0046420C" w:rsidRPr="00C55815" w14:paraId="024441A9" w14:textId="77777777" w:rsidTr="00D447DB">
        <w:trPr>
          <w:trHeight w:val="1040"/>
          <w:jc w:val="center"/>
        </w:trPr>
        <w:tc>
          <w:tcPr>
            <w:tcW w:w="1255" w:type="dxa"/>
            <w:vMerge w:val="restart"/>
            <w:shd w:val="clear" w:color="auto" w:fill="auto"/>
            <w:noWrap/>
            <w:vAlign w:val="center"/>
            <w:hideMark/>
          </w:tcPr>
          <w:p w14:paraId="7D69C558"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Scherer</w:t>
            </w:r>
          </w:p>
        </w:tc>
        <w:tc>
          <w:tcPr>
            <w:tcW w:w="1255" w:type="dxa"/>
            <w:shd w:val="clear" w:color="auto" w:fill="auto"/>
            <w:vAlign w:val="center"/>
            <w:hideMark/>
          </w:tcPr>
          <w:p w14:paraId="5DC4C969"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616FB881"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p>
        </w:tc>
        <w:tc>
          <w:tcPr>
            <w:tcW w:w="6440" w:type="dxa"/>
            <w:shd w:val="clear" w:color="auto" w:fill="auto"/>
            <w:vAlign w:val="center"/>
            <w:hideMark/>
          </w:tcPr>
          <w:p w14:paraId="16061444" w14:textId="64A42E35"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AP-1 </w:t>
            </w:r>
            <w:r w:rsidR="00CE7530" w:rsidRPr="00C55815">
              <w:rPr>
                <w:rFonts w:ascii="Calibri" w:eastAsia="Times New Roman" w:hAnsi="Calibri" w:cs="Calibri"/>
                <w:color w:val="000000"/>
                <w:sz w:val="20"/>
                <w:szCs w:val="20"/>
              </w:rPr>
              <w:t>will be closed in place with a</w:t>
            </w:r>
            <w:r w:rsidR="00CE7530">
              <w:rPr>
                <w:rFonts w:ascii="Calibri" w:eastAsia="Times New Roman" w:hAnsi="Calibri" w:cs="Calibri"/>
                <w:color w:val="000000"/>
                <w:sz w:val="20"/>
                <w:szCs w:val="20"/>
              </w:rPr>
              <w:t>n</w:t>
            </w:r>
            <w:r w:rsidR="00CE7530" w:rsidRPr="00C55815">
              <w:rPr>
                <w:rFonts w:ascii="Calibri" w:eastAsia="Times New Roman" w:hAnsi="Calibri" w:cs="Calibri"/>
                <w:color w:val="000000"/>
                <w:sz w:val="20"/>
                <w:szCs w:val="20"/>
              </w:rPr>
              <w:t xml:space="preserve"> engineered </w:t>
            </w:r>
            <w:r w:rsidR="00CE7530">
              <w:rPr>
                <w:rFonts w:ascii="Calibri" w:eastAsia="Times New Roman" w:hAnsi="Calibri" w:cs="Calibri"/>
                <w:color w:val="000000"/>
                <w:sz w:val="20"/>
                <w:szCs w:val="20"/>
              </w:rPr>
              <w:t xml:space="preserve">impermeable </w:t>
            </w:r>
            <w:r w:rsidR="00CE7530" w:rsidRPr="00C55815">
              <w:rPr>
                <w:rFonts w:ascii="Calibri" w:eastAsia="Times New Roman" w:hAnsi="Calibri" w:cs="Calibri"/>
                <w:color w:val="000000"/>
                <w:sz w:val="20"/>
                <w:szCs w:val="20"/>
              </w:rPr>
              <w:t>cap-cover system.</w:t>
            </w:r>
            <w:r w:rsidRPr="00C55815">
              <w:rPr>
                <w:rFonts w:ascii="Calibri" w:eastAsia="Times New Roman" w:hAnsi="Calibri" w:cs="Calibri"/>
                <w:color w:val="000000"/>
                <w:sz w:val="20"/>
                <w:szCs w:val="20"/>
              </w:rPr>
              <w:t xml:space="preserve"> Consistent with the closure plans, the </w:t>
            </w:r>
            <w:r w:rsidR="007A0ED0">
              <w:rPr>
                <w:rFonts w:ascii="Calibri" w:eastAsia="Times New Roman" w:hAnsi="Calibri" w:cs="Calibri"/>
                <w:color w:val="000000"/>
                <w:sz w:val="20"/>
                <w:szCs w:val="20"/>
              </w:rPr>
              <w:t xml:space="preserve">planned </w:t>
            </w:r>
            <w:r w:rsidRPr="00C55815">
              <w:rPr>
                <w:rFonts w:ascii="Calibri" w:eastAsia="Times New Roman" w:hAnsi="Calibri" w:cs="Calibri"/>
                <w:color w:val="000000"/>
                <w:sz w:val="20"/>
                <w:szCs w:val="20"/>
              </w:rPr>
              <w:t xml:space="preserve">closure construction includes consolidation of the current ash pond footprint, with extension of the final cover system over non-CCR containing areas to minimize stormwater infiltration. </w:t>
            </w:r>
          </w:p>
        </w:tc>
      </w:tr>
      <w:tr w:rsidR="0046420C" w:rsidRPr="00C55815" w14:paraId="677CC836" w14:textId="77777777" w:rsidTr="00D447DB">
        <w:trPr>
          <w:trHeight w:val="780"/>
          <w:jc w:val="center"/>
        </w:trPr>
        <w:tc>
          <w:tcPr>
            <w:tcW w:w="1255" w:type="dxa"/>
            <w:vMerge/>
            <w:vAlign w:val="center"/>
            <w:hideMark/>
          </w:tcPr>
          <w:p w14:paraId="0F97926A"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44D8B1D2"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LF</w:t>
            </w:r>
          </w:p>
        </w:tc>
        <w:tc>
          <w:tcPr>
            <w:tcW w:w="1215" w:type="dxa"/>
            <w:shd w:val="clear" w:color="auto" w:fill="auto"/>
            <w:vAlign w:val="center"/>
            <w:hideMark/>
          </w:tcPr>
          <w:p w14:paraId="482A9071"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23F42003" w14:textId="77777777" w:rsidR="0046420C" w:rsidRPr="00C55815" w:rsidRDefault="0046420C" w:rsidP="00D34716">
            <w:pPr>
              <w:spacing w:before="120"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The permitted</w:t>
            </w:r>
            <w:r w:rsidRPr="00C55815">
              <w:rPr>
                <w:rFonts w:ascii="Calibri" w:eastAsia="Times New Roman" w:hAnsi="Calibri" w:cs="Calibri"/>
                <w:color w:val="000000"/>
                <w:sz w:val="20"/>
                <w:szCs w:val="20"/>
              </w:rPr>
              <w:t xml:space="preserve"> landfill to remain active as part of ongoing plant operations. The landfill will undergo closure when permitted capacity is reached or when CCR disposal is no longer needed.</w:t>
            </w:r>
          </w:p>
        </w:tc>
      </w:tr>
      <w:tr w:rsidR="0046420C" w:rsidRPr="00C55815" w14:paraId="4E0A052F" w14:textId="77777777" w:rsidTr="00D447DB">
        <w:trPr>
          <w:trHeight w:val="520"/>
          <w:jc w:val="center"/>
        </w:trPr>
        <w:tc>
          <w:tcPr>
            <w:tcW w:w="1255" w:type="dxa"/>
            <w:vMerge w:val="restart"/>
            <w:shd w:val="clear" w:color="auto" w:fill="auto"/>
            <w:vAlign w:val="center"/>
            <w:hideMark/>
          </w:tcPr>
          <w:p w14:paraId="3919B781"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Wansley</w:t>
            </w:r>
          </w:p>
        </w:tc>
        <w:tc>
          <w:tcPr>
            <w:tcW w:w="1255" w:type="dxa"/>
            <w:shd w:val="clear" w:color="auto" w:fill="auto"/>
            <w:vAlign w:val="center"/>
            <w:hideMark/>
          </w:tcPr>
          <w:p w14:paraId="2AA19B51"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vAlign w:val="center"/>
            <w:hideMark/>
          </w:tcPr>
          <w:p w14:paraId="14D048E5"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p>
        </w:tc>
        <w:tc>
          <w:tcPr>
            <w:tcW w:w="6440" w:type="dxa"/>
            <w:shd w:val="clear" w:color="auto" w:fill="auto"/>
            <w:vAlign w:val="center"/>
            <w:hideMark/>
          </w:tcPr>
          <w:p w14:paraId="15894433" w14:textId="50B229A0"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AP-1 will be closed by removal with CCR placed in a</w:t>
            </w:r>
            <w:r>
              <w:rPr>
                <w:rFonts w:ascii="Calibri" w:eastAsia="Times New Roman" w:hAnsi="Calibri" w:cs="Calibri"/>
                <w:color w:val="000000"/>
                <w:sz w:val="20"/>
                <w:szCs w:val="20"/>
              </w:rPr>
              <w:t xml:space="preserve"> permitted </w:t>
            </w:r>
            <w:r w:rsidRPr="00C55815">
              <w:rPr>
                <w:rFonts w:ascii="Calibri" w:eastAsia="Times New Roman" w:hAnsi="Calibri" w:cs="Calibri"/>
                <w:color w:val="000000"/>
                <w:sz w:val="20"/>
                <w:szCs w:val="20"/>
              </w:rPr>
              <w:t>on-site landfill.</w:t>
            </w:r>
          </w:p>
        </w:tc>
      </w:tr>
      <w:tr w:rsidR="0046420C" w:rsidRPr="00C55815" w14:paraId="075AD961" w14:textId="77777777" w:rsidTr="00D447DB">
        <w:trPr>
          <w:trHeight w:val="520"/>
          <w:jc w:val="center"/>
        </w:trPr>
        <w:tc>
          <w:tcPr>
            <w:tcW w:w="1255" w:type="dxa"/>
            <w:vMerge/>
            <w:vAlign w:val="center"/>
            <w:hideMark/>
          </w:tcPr>
          <w:p w14:paraId="7175BFCD" w14:textId="77777777" w:rsidR="0046420C" w:rsidRPr="00C55815" w:rsidRDefault="0046420C" w:rsidP="00D34716">
            <w:pPr>
              <w:spacing w:before="120" w:after="0" w:line="240" w:lineRule="auto"/>
              <w:jc w:val="left"/>
              <w:rPr>
                <w:rFonts w:ascii="Calibri" w:eastAsia="Times New Roman" w:hAnsi="Calibri" w:cs="Calibri"/>
                <w:color w:val="000000"/>
                <w:sz w:val="20"/>
                <w:szCs w:val="20"/>
              </w:rPr>
            </w:pPr>
          </w:p>
        </w:tc>
        <w:tc>
          <w:tcPr>
            <w:tcW w:w="1255" w:type="dxa"/>
            <w:shd w:val="clear" w:color="auto" w:fill="auto"/>
            <w:vAlign w:val="center"/>
            <w:hideMark/>
          </w:tcPr>
          <w:p w14:paraId="4D4C129C"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LF</w:t>
            </w:r>
          </w:p>
        </w:tc>
        <w:tc>
          <w:tcPr>
            <w:tcW w:w="1215" w:type="dxa"/>
            <w:shd w:val="clear" w:color="auto" w:fill="auto"/>
            <w:vAlign w:val="center"/>
            <w:hideMark/>
          </w:tcPr>
          <w:p w14:paraId="7A72BD51"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1ED5B3AE" w14:textId="147A61F1"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The </w:t>
            </w:r>
            <w:r>
              <w:rPr>
                <w:rFonts w:ascii="Calibri" w:eastAsia="Times New Roman" w:hAnsi="Calibri" w:cs="Calibri"/>
                <w:color w:val="000000"/>
                <w:sz w:val="20"/>
                <w:szCs w:val="20"/>
              </w:rPr>
              <w:t>permitted</w:t>
            </w:r>
            <w:r w:rsidRPr="00C55815">
              <w:rPr>
                <w:rFonts w:ascii="Calibri" w:eastAsia="Times New Roman" w:hAnsi="Calibri" w:cs="Calibri"/>
                <w:color w:val="000000"/>
                <w:sz w:val="20"/>
                <w:szCs w:val="20"/>
              </w:rPr>
              <w:t xml:space="preserve"> landfill will be expanded and then closed </w:t>
            </w:r>
            <w:r w:rsidR="005305E9" w:rsidRPr="00C55815">
              <w:rPr>
                <w:rFonts w:ascii="Calibri" w:eastAsia="Times New Roman" w:hAnsi="Calibri" w:cs="Calibri"/>
                <w:color w:val="000000"/>
                <w:sz w:val="20"/>
                <w:szCs w:val="20"/>
              </w:rPr>
              <w:t>when permitted capacity is reached or when CCR disposal is no longer needed</w:t>
            </w:r>
            <w:r w:rsidR="005305E9">
              <w:rPr>
                <w:rFonts w:ascii="Calibri" w:eastAsia="Times New Roman" w:hAnsi="Calibri" w:cs="Calibri"/>
                <w:color w:val="000000"/>
                <w:sz w:val="20"/>
                <w:szCs w:val="20"/>
              </w:rPr>
              <w:t xml:space="preserve">. </w:t>
            </w:r>
            <w:r w:rsidRPr="00C55815" w:rsidDel="005305E9">
              <w:rPr>
                <w:rFonts w:ascii="Calibri" w:eastAsia="Times New Roman" w:hAnsi="Calibri" w:cs="Calibri"/>
                <w:color w:val="000000"/>
                <w:sz w:val="20"/>
                <w:szCs w:val="20"/>
              </w:rPr>
              <w:t xml:space="preserve"> </w:t>
            </w:r>
          </w:p>
        </w:tc>
      </w:tr>
      <w:tr w:rsidR="0046420C" w:rsidRPr="00C55815" w14:paraId="776A6658" w14:textId="77777777" w:rsidTr="00D447DB">
        <w:trPr>
          <w:trHeight w:val="520"/>
          <w:jc w:val="center"/>
        </w:trPr>
        <w:tc>
          <w:tcPr>
            <w:tcW w:w="1255" w:type="dxa"/>
            <w:vMerge w:val="restart"/>
            <w:shd w:val="clear" w:color="auto" w:fill="auto"/>
            <w:noWrap/>
            <w:vAlign w:val="center"/>
            <w:hideMark/>
          </w:tcPr>
          <w:p w14:paraId="4352166F" w14:textId="77777777" w:rsidR="0046420C" w:rsidRPr="00C55815" w:rsidRDefault="0046420C" w:rsidP="00D34716">
            <w:pPr>
              <w:spacing w:before="120" w:after="0" w:line="240" w:lineRule="auto"/>
              <w:jc w:val="center"/>
              <w:rPr>
                <w:rFonts w:ascii="Calibri" w:eastAsia="Times New Roman" w:hAnsi="Calibri" w:cs="Calibri"/>
                <w:color w:val="000000"/>
              </w:rPr>
            </w:pPr>
            <w:r w:rsidRPr="00253B40">
              <w:rPr>
                <w:rFonts w:ascii="Calibri" w:eastAsia="Times New Roman" w:hAnsi="Calibri" w:cs="Calibri"/>
                <w:color w:val="000000"/>
                <w:sz w:val="20"/>
                <w:szCs w:val="20"/>
              </w:rPr>
              <w:t>Yates</w:t>
            </w:r>
          </w:p>
        </w:tc>
        <w:tc>
          <w:tcPr>
            <w:tcW w:w="1255" w:type="dxa"/>
            <w:shd w:val="clear" w:color="auto" w:fill="auto"/>
            <w:vAlign w:val="center"/>
            <w:hideMark/>
          </w:tcPr>
          <w:p w14:paraId="3F338301"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noWrap/>
            <w:vAlign w:val="center"/>
            <w:hideMark/>
          </w:tcPr>
          <w:p w14:paraId="36359FAC"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AP-1</w:t>
            </w:r>
          </w:p>
        </w:tc>
        <w:tc>
          <w:tcPr>
            <w:tcW w:w="6440" w:type="dxa"/>
            <w:shd w:val="clear" w:color="auto" w:fill="auto"/>
            <w:vAlign w:val="center"/>
            <w:hideMark/>
          </w:tcPr>
          <w:p w14:paraId="423B48F3" w14:textId="77777777" w:rsidR="0046420C" w:rsidRPr="00C55815" w:rsidRDefault="0046420C" w:rsidP="00D34716">
            <w:pPr>
              <w:spacing w:before="120"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 xml:space="preserve">CCR from </w:t>
            </w:r>
            <w:r w:rsidRPr="00C55815">
              <w:rPr>
                <w:rFonts w:ascii="Calibri" w:eastAsia="Times New Roman" w:hAnsi="Calibri" w:cs="Calibri"/>
                <w:color w:val="000000"/>
                <w:sz w:val="20"/>
                <w:szCs w:val="20"/>
              </w:rPr>
              <w:t>AP-1 was removed</w:t>
            </w:r>
            <w:r>
              <w:rPr>
                <w:rFonts w:ascii="Calibri" w:eastAsia="Times New Roman" w:hAnsi="Calibri" w:cs="Calibri"/>
                <w:color w:val="000000"/>
                <w:sz w:val="20"/>
                <w:szCs w:val="20"/>
              </w:rPr>
              <w:t xml:space="preserve"> from the ash pond and consolidated</w:t>
            </w:r>
            <w:r w:rsidRPr="00C55815">
              <w:rPr>
                <w:rFonts w:ascii="Calibri" w:eastAsia="Times New Roman" w:hAnsi="Calibri" w:cs="Calibri"/>
                <w:color w:val="000000"/>
                <w:sz w:val="20"/>
                <w:szCs w:val="20"/>
              </w:rPr>
              <w:t xml:space="preserve"> to R6</w:t>
            </w:r>
            <w:r>
              <w:rPr>
                <w:rFonts w:ascii="Calibri" w:eastAsia="Times New Roman" w:hAnsi="Calibri" w:cs="Calibri"/>
                <w:color w:val="000000"/>
                <w:sz w:val="20"/>
                <w:szCs w:val="20"/>
              </w:rPr>
              <w:t>,</w:t>
            </w:r>
            <w:r w:rsidRPr="00C55815">
              <w:rPr>
                <w:rFonts w:ascii="Calibri" w:eastAsia="Times New Roman" w:hAnsi="Calibri" w:cs="Calibri"/>
                <w:color w:val="000000"/>
                <w:sz w:val="20"/>
                <w:szCs w:val="20"/>
              </w:rPr>
              <w:t xml:space="preserve"> AP-B' and AP-3.  </w:t>
            </w:r>
          </w:p>
        </w:tc>
      </w:tr>
      <w:tr w:rsidR="0046420C" w:rsidRPr="00C55815" w14:paraId="6936452F" w14:textId="77777777" w:rsidTr="00D447DB">
        <w:trPr>
          <w:trHeight w:val="290"/>
          <w:jc w:val="center"/>
        </w:trPr>
        <w:tc>
          <w:tcPr>
            <w:tcW w:w="1255" w:type="dxa"/>
            <w:vMerge/>
            <w:vAlign w:val="center"/>
            <w:hideMark/>
          </w:tcPr>
          <w:p w14:paraId="47E53687"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3F69BCEC"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noWrap/>
            <w:vAlign w:val="center"/>
            <w:hideMark/>
          </w:tcPr>
          <w:p w14:paraId="56818871"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AP-2</w:t>
            </w:r>
          </w:p>
        </w:tc>
        <w:tc>
          <w:tcPr>
            <w:tcW w:w="6440" w:type="dxa"/>
            <w:shd w:val="clear" w:color="auto" w:fill="auto"/>
            <w:vAlign w:val="center"/>
            <w:hideMark/>
          </w:tcPr>
          <w:p w14:paraId="425C47AB"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AP-2 is being closed by removal to AP-B' and AP-3. </w:t>
            </w:r>
          </w:p>
        </w:tc>
      </w:tr>
      <w:tr w:rsidR="0046420C" w:rsidRPr="00C55815" w14:paraId="4DA53D77" w14:textId="77777777" w:rsidTr="00D447DB">
        <w:trPr>
          <w:trHeight w:val="971"/>
          <w:jc w:val="center"/>
        </w:trPr>
        <w:tc>
          <w:tcPr>
            <w:tcW w:w="1255" w:type="dxa"/>
            <w:vMerge/>
            <w:vAlign w:val="center"/>
            <w:hideMark/>
          </w:tcPr>
          <w:p w14:paraId="620902A6"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0EB78DB3"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noWrap/>
            <w:vAlign w:val="center"/>
            <w:hideMark/>
          </w:tcPr>
          <w:p w14:paraId="32C3B504"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AP-3, B’</w:t>
            </w:r>
          </w:p>
        </w:tc>
        <w:tc>
          <w:tcPr>
            <w:tcW w:w="6440" w:type="dxa"/>
            <w:shd w:val="clear" w:color="auto" w:fill="auto"/>
            <w:vAlign w:val="center"/>
            <w:hideMark/>
          </w:tcPr>
          <w:p w14:paraId="19041BA5" w14:textId="1FE6DC91"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AP-3 and AP-B’ are being consolidated and will be closed in place with a</w:t>
            </w:r>
            <w:r w:rsidR="00D329A2">
              <w:rPr>
                <w:rFonts w:ascii="Calibri" w:eastAsia="Times New Roman" w:hAnsi="Calibri" w:cs="Calibri"/>
                <w:color w:val="000000"/>
                <w:sz w:val="20"/>
                <w:szCs w:val="20"/>
              </w:rPr>
              <w:t>n</w:t>
            </w:r>
            <w:r w:rsidRPr="00C55815">
              <w:rPr>
                <w:rFonts w:ascii="Calibri" w:eastAsia="Times New Roman" w:hAnsi="Calibri" w:cs="Calibri"/>
                <w:color w:val="000000"/>
                <w:sz w:val="20"/>
                <w:szCs w:val="20"/>
              </w:rPr>
              <w:t xml:space="preserve"> engineered </w:t>
            </w:r>
            <w:r w:rsidR="00D329A2">
              <w:rPr>
                <w:rFonts w:ascii="Calibri" w:eastAsia="Times New Roman" w:hAnsi="Calibri" w:cs="Calibri"/>
                <w:color w:val="000000"/>
                <w:sz w:val="20"/>
                <w:szCs w:val="20"/>
              </w:rPr>
              <w:t xml:space="preserve">impermeable </w:t>
            </w:r>
            <w:r w:rsidRPr="00C55815">
              <w:rPr>
                <w:rFonts w:ascii="Calibri" w:eastAsia="Times New Roman" w:hAnsi="Calibri" w:cs="Calibri"/>
                <w:color w:val="000000"/>
                <w:sz w:val="20"/>
                <w:szCs w:val="20"/>
              </w:rPr>
              <w:t xml:space="preserve">cap-cover system. Consistent with the closure plans, a subsurface hydraulic conveyance system has been </w:t>
            </w:r>
            <w:r w:rsidR="00036F99">
              <w:rPr>
                <w:rFonts w:ascii="Calibri" w:eastAsia="Times New Roman" w:hAnsi="Calibri" w:cs="Calibri"/>
                <w:color w:val="000000"/>
                <w:sz w:val="20"/>
                <w:szCs w:val="20"/>
              </w:rPr>
              <w:t>installed as part of</w:t>
            </w:r>
            <w:r w:rsidRPr="00C55815">
              <w:rPr>
                <w:rFonts w:ascii="Calibri" w:eastAsia="Times New Roman" w:hAnsi="Calibri" w:cs="Calibri"/>
                <w:color w:val="000000"/>
                <w:sz w:val="20"/>
                <w:szCs w:val="20"/>
              </w:rPr>
              <w:t xml:space="preserve"> the closure</w:t>
            </w:r>
            <w:r w:rsidR="00036F99">
              <w:rPr>
                <w:rFonts w:ascii="Calibri" w:eastAsia="Times New Roman" w:hAnsi="Calibri" w:cs="Calibri"/>
                <w:color w:val="000000"/>
                <w:sz w:val="20"/>
                <w:szCs w:val="20"/>
              </w:rPr>
              <w:t>.</w:t>
            </w:r>
            <w:r w:rsidRPr="00C55815">
              <w:rPr>
                <w:rFonts w:ascii="Calibri" w:eastAsia="Times New Roman" w:hAnsi="Calibri" w:cs="Calibri"/>
                <w:color w:val="000000"/>
                <w:sz w:val="20"/>
                <w:szCs w:val="20"/>
              </w:rPr>
              <w:t xml:space="preserve">   </w:t>
            </w:r>
          </w:p>
        </w:tc>
      </w:tr>
      <w:tr w:rsidR="0046420C" w:rsidRPr="00C55815" w14:paraId="490AE092" w14:textId="77777777" w:rsidTr="00D447DB">
        <w:trPr>
          <w:trHeight w:val="290"/>
          <w:jc w:val="center"/>
        </w:trPr>
        <w:tc>
          <w:tcPr>
            <w:tcW w:w="1255" w:type="dxa"/>
            <w:vMerge/>
            <w:vAlign w:val="center"/>
            <w:hideMark/>
          </w:tcPr>
          <w:p w14:paraId="5733E4BB"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7CDAC65A"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noWrap/>
            <w:vAlign w:val="center"/>
            <w:hideMark/>
          </w:tcPr>
          <w:p w14:paraId="6FF86487"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AP-A</w:t>
            </w:r>
          </w:p>
        </w:tc>
        <w:tc>
          <w:tcPr>
            <w:tcW w:w="6440" w:type="dxa"/>
            <w:shd w:val="clear" w:color="auto" w:fill="auto"/>
            <w:vAlign w:val="center"/>
            <w:hideMark/>
          </w:tcPr>
          <w:p w14:paraId="2735765F"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AP-A was </w:t>
            </w:r>
            <w:r>
              <w:rPr>
                <w:rFonts w:ascii="Calibri" w:eastAsia="Times New Roman" w:hAnsi="Calibri" w:cs="Calibri"/>
                <w:color w:val="000000"/>
                <w:sz w:val="20"/>
                <w:szCs w:val="20"/>
              </w:rPr>
              <w:t>closed by removal</w:t>
            </w:r>
            <w:r w:rsidRPr="00C55815">
              <w:rPr>
                <w:rFonts w:ascii="Calibri" w:eastAsia="Times New Roman" w:hAnsi="Calibri" w:cs="Calibri"/>
                <w:color w:val="000000"/>
                <w:sz w:val="20"/>
                <w:szCs w:val="20"/>
              </w:rPr>
              <w:t xml:space="preserve"> and the ash placed in AP-B' and AP-3. </w:t>
            </w:r>
          </w:p>
        </w:tc>
      </w:tr>
      <w:tr w:rsidR="0046420C" w:rsidRPr="00C55815" w14:paraId="4DA94506" w14:textId="77777777" w:rsidTr="00D447DB">
        <w:trPr>
          <w:trHeight w:val="290"/>
          <w:jc w:val="center"/>
        </w:trPr>
        <w:tc>
          <w:tcPr>
            <w:tcW w:w="1255" w:type="dxa"/>
            <w:vMerge/>
            <w:vAlign w:val="center"/>
            <w:hideMark/>
          </w:tcPr>
          <w:p w14:paraId="41561482"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1E5DA668"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noWrap/>
            <w:vAlign w:val="center"/>
            <w:hideMark/>
          </w:tcPr>
          <w:p w14:paraId="09C59BD5"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AP-B</w:t>
            </w:r>
          </w:p>
        </w:tc>
        <w:tc>
          <w:tcPr>
            <w:tcW w:w="6440" w:type="dxa"/>
            <w:shd w:val="clear" w:color="auto" w:fill="auto"/>
            <w:vAlign w:val="center"/>
            <w:hideMark/>
          </w:tcPr>
          <w:p w14:paraId="7CF7E8C2"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AP-B is being closed by removal to AP-B' and AP-3.  </w:t>
            </w:r>
          </w:p>
        </w:tc>
      </w:tr>
      <w:tr w:rsidR="0046420C" w:rsidRPr="00C55815" w14:paraId="205DAAA7" w14:textId="77777777" w:rsidTr="00D447DB">
        <w:trPr>
          <w:trHeight w:val="520"/>
          <w:jc w:val="center"/>
        </w:trPr>
        <w:tc>
          <w:tcPr>
            <w:tcW w:w="1255" w:type="dxa"/>
            <w:vMerge/>
            <w:vAlign w:val="center"/>
            <w:hideMark/>
          </w:tcPr>
          <w:p w14:paraId="71C9DC68"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vAlign w:val="center"/>
            <w:hideMark/>
          </w:tcPr>
          <w:p w14:paraId="68196AD4"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1215" w:type="dxa"/>
            <w:shd w:val="clear" w:color="auto" w:fill="auto"/>
            <w:noWrap/>
            <w:vAlign w:val="center"/>
          </w:tcPr>
          <w:p w14:paraId="32243A55"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AP-C</w:t>
            </w:r>
          </w:p>
        </w:tc>
        <w:tc>
          <w:tcPr>
            <w:tcW w:w="6440" w:type="dxa"/>
            <w:shd w:val="clear" w:color="auto" w:fill="auto"/>
            <w:vAlign w:val="center"/>
          </w:tcPr>
          <w:p w14:paraId="32DE9743"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The former ash pond AP-C was previously incorporated into the on-site permitted landfill, R6.</w:t>
            </w:r>
            <w:r w:rsidRPr="00C55815">
              <w:rPr>
                <w:rFonts w:ascii="Arial" w:eastAsia="Times New Roman" w:hAnsi="Arial" w:cs="Arial"/>
                <w:color w:val="000000"/>
                <w:sz w:val="16"/>
                <w:szCs w:val="16"/>
              </w:rPr>
              <w:t> </w:t>
            </w:r>
          </w:p>
        </w:tc>
      </w:tr>
      <w:tr w:rsidR="0046420C" w:rsidRPr="00C55815" w14:paraId="4E61DDF7" w14:textId="77777777" w:rsidTr="00D447DB">
        <w:trPr>
          <w:trHeight w:val="710"/>
          <w:jc w:val="center"/>
        </w:trPr>
        <w:tc>
          <w:tcPr>
            <w:tcW w:w="1255" w:type="dxa"/>
            <w:vMerge/>
            <w:vAlign w:val="center"/>
            <w:hideMark/>
          </w:tcPr>
          <w:p w14:paraId="44687CD1"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noWrap/>
            <w:vAlign w:val="center"/>
            <w:hideMark/>
          </w:tcPr>
          <w:p w14:paraId="778947F2"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LF R6</w:t>
            </w:r>
          </w:p>
        </w:tc>
        <w:tc>
          <w:tcPr>
            <w:tcW w:w="1215" w:type="dxa"/>
            <w:shd w:val="clear" w:color="auto" w:fill="auto"/>
            <w:vAlign w:val="center"/>
            <w:hideMark/>
          </w:tcPr>
          <w:p w14:paraId="689A0FF0"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7962624B" w14:textId="36F202F0" w:rsidR="0046420C" w:rsidRPr="00C55815" w:rsidRDefault="0046420C" w:rsidP="00D34716">
            <w:pPr>
              <w:spacing w:before="120" w:after="0" w:line="240" w:lineRule="auto"/>
              <w:rPr>
                <w:rFonts w:ascii="Calibri" w:eastAsia="Times New Roman" w:hAnsi="Calibri" w:cs="Calibri"/>
                <w:color w:val="000000"/>
                <w:sz w:val="20"/>
                <w:szCs w:val="20"/>
              </w:rPr>
            </w:pPr>
            <w:r w:rsidRPr="001F563D">
              <w:rPr>
                <w:rFonts w:ascii="Calibri" w:eastAsia="Times New Roman" w:hAnsi="Calibri" w:cs="Calibri"/>
                <w:color w:val="000000"/>
                <w:sz w:val="20"/>
                <w:szCs w:val="20"/>
              </w:rPr>
              <w:t>Former ash pond AP-C was previously incorporated into the on</w:t>
            </w:r>
            <w:r>
              <w:rPr>
                <w:rFonts w:ascii="Calibri" w:eastAsia="Times New Roman" w:hAnsi="Calibri" w:cs="Calibri"/>
                <w:color w:val="000000"/>
                <w:sz w:val="20"/>
                <w:szCs w:val="20"/>
              </w:rPr>
              <w:t>-</w:t>
            </w:r>
            <w:r w:rsidRPr="001F563D">
              <w:rPr>
                <w:rFonts w:ascii="Calibri" w:eastAsia="Times New Roman" w:hAnsi="Calibri" w:cs="Calibri"/>
                <w:color w:val="000000"/>
                <w:sz w:val="20"/>
                <w:szCs w:val="20"/>
              </w:rPr>
              <w:t>site permitted landfill, R6.</w:t>
            </w:r>
            <w:r>
              <w:rPr>
                <w:rFonts w:ascii="Calibri" w:eastAsia="Times New Roman" w:hAnsi="Calibri" w:cs="Calibri"/>
                <w:color w:val="000000"/>
                <w:sz w:val="20"/>
                <w:szCs w:val="20"/>
              </w:rPr>
              <w:t xml:space="preserve"> </w:t>
            </w:r>
            <w:r w:rsidRPr="00C55815">
              <w:rPr>
                <w:rFonts w:ascii="Calibri" w:eastAsia="Times New Roman" w:hAnsi="Calibri" w:cs="Calibri"/>
                <w:color w:val="000000"/>
                <w:sz w:val="20"/>
                <w:szCs w:val="20"/>
              </w:rPr>
              <w:t>The landfill is being closed in accordance with its current landfill permit requirements.</w:t>
            </w:r>
          </w:p>
        </w:tc>
      </w:tr>
      <w:tr w:rsidR="0046420C" w:rsidRPr="00C55815" w14:paraId="13554A12" w14:textId="77777777" w:rsidTr="00D447DB">
        <w:trPr>
          <w:trHeight w:val="476"/>
          <w:jc w:val="center"/>
        </w:trPr>
        <w:tc>
          <w:tcPr>
            <w:tcW w:w="1255" w:type="dxa"/>
            <w:vMerge/>
            <w:vAlign w:val="center"/>
            <w:hideMark/>
          </w:tcPr>
          <w:p w14:paraId="1B8D3D5A" w14:textId="77777777" w:rsidR="0046420C" w:rsidRPr="00C55815" w:rsidRDefault="0046420C" w:rsidP="00D34716">
            <w:pPr>
              <w:spacing w:before="120" w:after="0" w:line="240" w:lineRule="auto"/>
              <w:jc w:val="left"/>
              <w:rPr>
                <w:rFonts w:ascii="Calibri" w:eastAsia="Times New Roman" w:hAnsi="Calibri" w:cs="Calibri"/>
                <w:color w:val="000000"/>
              </w:rPr>
            </w:pPr>
          </w:p>
        </w:tc>
        <w:tc>
          <w:tcPr>
            <w:tcW w:w="1255" w:type="dxa"/>
            <w:shd w:val="clear" w:color="auto" w:fill="auto"/>
            <w:noWrap/>
            <w:vAlign w:val="center"/>
            <w:hideMark/>
          </w:tcPr>
          <w:p w14:paraId="14775966"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LF Gypsum</w:t>
            </w:r>
          </w:p>
        </w:tc>
        <w:tc>
          <w:tcPr>
            <w:tcW w:w="1215" w:type="dxa"/>
            <w:shd w:val="clear" w:color="auto" w:fill="auto"/>
            <w:vAlign w:val="center"/>
            <w:hideMark/>
          </w:tcPr>
          <w:p w14:paraId="41AD5E45" w14:textId="77777777" w:rsidR="0046420C" w:rsidRPr="00C55815" w:rsidRDefault="0046420C" w:rsidP="00D34716">
            <w:pPr>
              <w:spacing w:before="120" w:after="0" w:line="240" w:lineRule="auto"/>
              <w:jc w:val="center"/>
              <w:rPr>
                <w:rFonts w:ascii="Calibri" w:eastAsia="Times New Roman" w:hAnsi="Calibri" w:cs="Calibri"/>
                <w:color w:val="000000"/>
                <w:sz w:val="20"/>
                <w:szCs w:val="20"/>
              </w:rPr>
            </w:pPr>
            <w:r w:rsidRPr="00C55815">
              <w:rPr>
                <w:rFonts w:ascii="Calibri" w:eastAsia="Times New Roman" w:hAnsi="Calibri" w:cs="Calibri"/>
                <w:color w:val="000000"/>
                <w:sz w:val="20"/>
                <w:szCs w:val="20"/>
              </w:rPr>
              <w:t> </w:t>
            </w:r>
          </w:p>
        </w:tc>
        <w:tc>
          <w:tcPr>
            <w:tcW w:w="6440" w:type="dxa"/>
            <w:shd w:val="clear" w:color="auto" w:fill="auto"/>
            <w:vAlign w:val="center"/>
            <w:hideMark/>
          </w:tcPr>
          <w:p w14:paraId="33064A18" w14:textId="77777777" w:rsidR="0046420C" w:rsidRPr="00C55815" w:rsidRDefault="0046420C" w:rsidP="00D34716">
            <w:pPr>
              <w:spacing w:before="120" w:after="0" w:line="240" w:lineRule="auto"/>
              <w:rPr>
                <w:rFonts w:ascii="Calibri" w:eastAsia="Times New Roman" w:hAnsi="Calibri" w:cs="Calibri"/>
                <w:color w:val="000000"/>
                <w:sz w:val="20"/>
                <w:szCs w:val="20"/>
              </w:rPr>
            </w:pPr>
            <w:r w:rsidRPr="00C55815">
              <w:rPr>
                <w:rFonts w:ascii="Calibri" w:eastAsia="Times New Roman" w:hAnsi="Calibri" w:cs="Calibri"/>
                <w:color w:val="000000"/>
                <w:sz w:val="20"/>
                <w:szCs w:val="20"/>
              </w:rPr>
              <w:t xml:space="preserve">The gypsum landfill has been closed by removal. </w:t>
            </w:r>
          </w:p>
        </w:tc>
      </w:tr>
    </w:tbl>
    <w:p w14:paraId="454FB072" w14:textId="54C3C89F" w:rsidR="001D33DF" w:rsidRDefault="008F0059" w:rsidP="004510B9">
      <w:pPr>
        <w:spacing w:before="120" w:after="0" w:line="240" w:lineRule="auto"/>
      </w:pPr>
      <w:r w:rsidRPr="7A0C2078">
        <w:rPr>
          <w:color w:val="171717" w:themeColor="background2" w:themeShade="1A"/>
        </w:rPr>
        <w:lastRenderedPageBreak/>
        <w:t>In November 2018, Georgia Power submi</w:t>
      </w:r>
      <w:r>
        <w:rPr>
          <w:color w:val="171717" w:themeColor="background2" w:themeShade="1A"/>
        </w:rPr>
        <w:t>tted</w:t>
      </w:r>
      <w:r w:rsidRPr="7A0C2078">
        <w:rPr>
          <w:color w:val="171717" w:themeColor="background2" w:themeShade="1A"/>
        </w:rPr>
        <w:t xml:space="preserve"> 29 CCR permit applications as required by the Georgia CCR Rule for </w:t>
      </w:r>
      <w:r w:rsidR="00A66486">
        <w:rPr>
          <w:color w:val="171717" w:themeColor="background2" w:themeShade="1A"/>
        </w:rPr>
        <w:t xml:space="preserve">all existing </w:t>
      </w:r>
      <w:r w:rsidRPr="7A0C2078">
        <w:rPr>
          <w:color w:val="171717" w:themeColor="background2" w:themeShade="1A"/>
        </w:rPr>
        <w:t>ash ponds and CCR landfills. These permit applications outlined detailed engineering information about Georgia Power's ash pond closure and landfill operations plans</w:t>
      </w:r>
      <w:r>
        <w:rPr>
          <w:color w:val="171717" w:themeColor="background2" w:themeShade="1A"/>
        </w:rPr>
        <w:t xml:space="preserve"> and were </w:t>
      </w:r>
      <w:r w:rsidRPr="7A0C2078">
        <w:rPr>
          <w:color w:val="171717" w:themeColor="background2" w:themeShade="1A"/>
        </w:rPr>
        <w:t>developed with significant internal resources supported by multiple third-party engineering firms and licensed professional engineers and geologists.</w:t>
      </w:r>
      <w:r>
        <w:rPr>
          <w:color w:val="171717" w:themeColor="background2" w:themeShade="1A"/>
        </w:rPr>
        <w:t xml:space="preserve"> </w:t>
      </w:r>
      <w:r w:rsidR="002925BE" w:rsidRPr="003D640E">
        <w:t>As part of the permitting process, Georgia EPD reviews and provides comments to Georgia Power on the site-specific details of the individual permit applications. The Company took steps to address EPD’s comments, which included</w:t>
      </w:r>
      <w:r w:rsidR="002925BE">
        <w:t xml:space="preserve"> working with third-party engineering firms to</w:t>
      </w:r>
      <w:r w:rsidR="002925BE" w:rsidRPr="003D640E">
        <w:t xml:space="preserve"> </w:t>
      </w:r>
      <w:r w:rsidR="002925BE">
        <w:t>update</w:t>
      </w:r>
      <w:r w:rsidR="002925BE" w:rsidRPr="003D640E">
        <w:t xml:space="preserve"> groundwater monitoring </w:t>
      </w:r>
      <w:r w:rsidR="002925BE">
        <w:t>plans</w:t>
      </w:r>
      <w:r w:rsidR="002925BE" w:rsidRPr="003D640E">
        <w:t>, revis</w:t>
      </w:r>
      <w:r w:rsidR="002925BE">
        <w:t>e</w:t>
      </w:r>
      <w:r w:rsidR="002925BE" w:rsidRPr="003D640E">
        <w:t xml:space="preserve"> permit documents</w:t>
      </w:r>
      <w:r w:rsidR="00285C44">
        <w:t>,</w:t>
      </w:r>
      <w:r w:rsidR="002925BE" w:rsidRPr="003D640E">
        <w:t xml:space="preserve"> and updat</w:t>
      </w:r>
      <w:r w:rsidR="002925BE">
        <w:t>e</w:t>
      </w:r>
      <w:r w:rsidR="002925BE" w:rsidRPr="003D640E">
        <w:t xml:space="preserve"> closure drawings and engineering calculations. However, while EPD required the Company to update its </w:t>
      </w:r>
      <w:r w:rsidR="002925BE">
        <w:t xml:space="preserve">permit </w:t>
      </w:r>
      <w:r w:rsidR="002925BE" w:rsidRPr="003D640E">
        <w:t>application</w:t>
      </w:r>
      <w:r w:rsidR="002925BE">
        <w:t>s</w:t>
      </w:r>
      <w:r w:rsidR="002925BE" w:rsidRPr="003D640E">
        <w:t xml:space="preserve"> and plans, final permits </w:t>
      </w:r>
      <w:r w:rsidR="005339AA">
        <w:t>have been</w:t>
      </w:r>
      <w:r w:rsidR="002925BE" w:rsidRPr="003D640E">
        <w:t xml:space="preserve"> largely consistent with </w:t>
      </w:r>
      <w:r w:rsidR="002925BE">
        <w:t>permit</w:t>
      </w:r>
      <w:r w:rsidR="002925BE" w:rsidRPr="003D640E">
        <w:t xml:space="preserve"> applications and did not significantly change the Company’s closure plans.</w:t>
      </w:r>
      <w:r w:rsidR="00746AB3">
        <w:t xml:space="preserve"> </w:t>
      </w:r>
    </w:p>
    <w:p w14:paraId="3947E7DA" w14:textId="4D31ACF1" w:rsidR="00AC4FB8" w:rsidRPr="001D33DF" w:rsidRDefault="008F0059" w:rsidP="00AC4FB8">
      <w:pPr>
        <w:spacing w:before="120" w:after="0" w:line="240" w:lineRule="auto"/>
        <w:rPr>
          <w:lang w:val="en"/>
        </w:rPr>
      </w:pPr>
      <w:r w:rsidRPr="00B261E9">
        <w:rPr>
          <w:rStyle w:val="normaltextrun"/>
          <w:rFonts w:cs="Arial"/>
          <w:color w:val="000000"/>
          <w:shd w:val="clear" w:color="auto" w:fill="FFFFFF"/>
        </w:rPr>
        <w:t>To date,</w:t>
      </w:r>
      <w:r w:rsidR="0019003C">
        <w:rPr>
          <w:rStyle w:val="normaltextrun"/>
          <w:rFonts w:cs="Arial"/>
          <w:color w:val="000000"/>
          <w:shd w:val="clear" w:color="auto" w:fill="FFFFFF"/>
        </w:rPr>
        <w:t xml:space="preserve"> EPD has issued a total of 17 final permits, including </w:t>
      </w:r>
      <w:r w:rsidR="00230096">
        <w:rPr>
          <w:rStyle w:val="normaltextrun"/>
          <w:rFonts w:cs="Arial"/>
          <w:color w:val="000000"/>
          <w:shd w:val="clear" w:color="auto" w:fill="FFFFFF"/>
        </w:rPr>
        <w:t>2</w:t>
      </w:r>
      <w:r w:rsidR="0019003C">
        <w:rPr>
          <w:rStyle w:val="normaltextrun"/>
          <w:rFonts w:cs="Arial"/>
          <w:color w:val="000000"/>
          <w:shd w:val="clear" w:color="auto" w:fill="FFFFFF"/>
        </w:rPr>
        <w:t xml:space="preserve"> closure-in-place</w:t>
      </w:r>
      <w:r w:rsidR="00230096">
        <w:rPr>
          <w:rStyle w:val="normaltextrun"/>
          <w:rFonts w:cs="Arial"/>
          <w:color w:val="000000"/>
          <w:shd w:val="clear" w:color="auto" w:fill="FFFFFF"/>
        </w:rPr>
        <w:t xml:space="preserve"> permits</w:t>
      </w:r>
      <w:r w:rsidR="0019003C">
        <w:rPr>
          <w:rStyle w:val="normaltextrun"/>
          <w:rFonts w:cs="Arial"/>
          <w:color w:val="000000"/>
          <w:shd w:val="clear" w:color="auto" w:fill="FFFFFF"/>
        </w:rPr>
        <w:t>,</w:t>
      </w:r>
      <w:r w:rsidR="00230096">
        <w:rPr>
          <w:rStyle w:val="normaltextrun"/>
          <w:rFonts w:cs="Arial"/>
          <w:color w:val="000000"/>
          <w:shd w:val="clear" w:color="auto" w:fill="FFFFFF"/>
        </w:rPr>
        <w:t xml:space="preserve"> 8 closure-by-removal permits, and 7 landfill permits.</w:t>
      </w:r>
      <w:r w:rsidR="0019003C">
        <w:rPr>
          <w:rStyle w:val="normaltextrun"/>
          <w:rFonts w:cs="Arial"/>
          <w:color w:val="000000"/>
          <w:shd w:val="clear" w:color="auto" w:fill="FFFFFF"/>
        </w:rPr>
        <w:t xml:space="preserve"> </w:t>
      </w:r>
      <w:r w:rsidR="00AC4FB8">
        <w:rPr>
          <w:iCs/>
        </w:rPr>
        <w:t xml:space="preserve">In November 2023, more than 2 years after the proposed permit was issued and following numerous discussions between Georgia EPD and EPA, Georgia EPD issued a final permit for Hammond AP-3, a closure-in-place unit. At Hammond </w:t>
      </w:r>
      <w:r w:rsidR="00082DC7">
        <w:rPr>
          <w:iCs/>
        </w:rPr>
        <w:t xml:space="preserve">AP-3 </w:t>
      </w:r>
      <w:r w:rsidR="00AC4FB8">
        <w:rPr>
          <w:iCs/>
        </w:rPr>
        <w:t>and all closure in place ash ponds across the state, the Company is utilizing proven engineering methods and technologies as part of customized, site-specific closure processes. The issuance of the final permit at Hammond AP-3 demonstrates the EPD’s concurrence that the unit’s closure plans meet the required performance standards.</w:t>
      </w:r>
      <w:r w:rsidR="00693319">
        <w:rPr>
          <w:iCs/>
        </w:rPr>
        <w:t xml:space="preserve"> </w:t>
      </w:r>
      <w:r w:rsidR="002A2DB1">
        <w:rPr>
          <w:iCs/>
        </w:rPr>
        <w:t>Moving forward, discussions between Georgia EPD and EPA on Georgia’s CCR program are expected to continue</w:t>
      </w:r>
      <w:r w:rsidR="006E5532">
        <w:rPr>
          <w:iCs/>
        </w:rPr>
        <w:t xml:space="preserve">, with EPA </w:t>
      </w:r>
      <w:r w:rsidR="007F3670">
        <w:rPr>
          <w:iCs/>
        </w:rPr>
        <w:t>maintaining</w:t>
      </w:r>
      <w:r w:rsidR="006E5532">
        <w:rPr>
          <w:iCs/>
        </w:rPr>
        <w:t xml:space="preserve"> its current positions first expressed in </w:t>
      </w:r>
      <w:r w:rsidR="00515F12">
        <w:rPr>
          <w:iCs/>
        </w:rPr>
        <w:t xml:space="preserve">the </w:t>
      </w:r>
      <w:r w:rsidR="006E5532">
        <w:rPr>
          <w:iCs/>
        </w:rPr>
        <w:t>January 2022</w:t>
      </w:r>
      <w:r w:rsidR="00515F12">
        <w:rPr>
          <w:iCs/>
        </w:rPr>
        <w:t xml:space="preserve"> determinations</w:t>
      </w:r>
      <w:r w:rsidR="005D7C84">
        <w:rPr>
          <w:iCs/>
        </w:rPr>
        <w:t xml:space="preserve"> </w:t>
      </w:r>
      <w:r w:rsidR="00D05E6D">
        <w:rPr>
          <w:iCs/>
        </w:rPr>
        <w:t xml:space="preserve">for facilities outside of Georgia </w:t>
      </w:r>
      <w:r w:rsidR="005D7C84">
        <w:rPr>
          <w:iCs/>
        </w:rPr>
        <w:t xml:space="preserve">and </w:t>
      </w:r>
      <w:r w:rsidR="00F90920">
        <w:rPr>
          <w:iCs/>
        </w:rPr>
        <w:t xml:space="preserve">in </w:t>
      </w:r>
      <w:r w:rsidR="00491000">
        <w:rPr>
          <w:iCs/>
        </w:rPr>
        <w:t xml:space="preserve">subsequent actions </w:t>
      </w:r>
      <w:r w:rsidR="0082028C">
        <w:rPr>
          <w:iCs/>
        </w:rPr>
        <w:t xml:space="preserve">related to </w:t>
      </w:r>
      <w:r w:rsidR="0082028C" w:rsidRPr="002B42B4">
        <w:t>closure performance standards, groundwater monitoring, and corrective action</w:t>
      </w:r>
      <w:r w:rsidR="0082028C">
        <w:t>.</w:t>
      </w:r>
      <w:r w:rsidR="00FD5553">
        <w:rPr>
          <w:iCs/>
        </w:rPr>
        <w:t xml:space="preserve"> </w:t>
      </w:r>
      <w:r w:rsidR="00FD5553" w:rsidRPr="00082DC7">
        <w:t>Most recently, EPA issued EPD a letter questioning the issuance of the final permit</w:t>
      </w:r>
      <w:r w:rsidR="00790E38" w:rsidRPr="00082DC7">
        <w:t xml:space="preserve"> for Hammond AP-3</w:t>
      </w:r>
      <w:r w:rsidR="00FD5553" w:rsidRPr="00082DC7">
        <w:t xml:space="preserve"> and requested continued communication on permit issuances</w:t>
      </w:r>
      <w:r w:rsidR="00FD5553" w:rsidRPr="00285C44">
        <w:t>.</w:t>
      </w:r>
      <w:r w:rsidR="00FD5553">
        <w:t xml:space="preserve"> </w:t>
      </w:r>
      <w:r w:rsidR="00FD3001">
        <w:rPr>
          <w:iCs/>
        </w:rPr>
        <w:t xml:space="preserve">With </w:t>
      </w:r>
      <w:r w:rsidR="00E0617A">
        <w:rPr>
          <w:iCs/>
        </w:rPr>
        <w:t>additional</w:t>
      </w:r>
      <w:r w:rsidR="00A52CA6">
        <w:rPr>
          <w:iCs/>
        </w:rPr>
        <w:t xml:space="preserve"> developments expected in 2024 related to </w:t>
      </w:r>
      <w:r w:rsidR="00457AE3">
        <w:rPr>
          <w:iCs/>
        </w:rPr>
        <w:t xml:space="preserve">CCR </w:t>
      </w:r>
      <w:r w:rsidR="00E0617A">
        <w:rPr>
          <w:iCs/>
        </w:rPr>
        <w:t>rulemaking,</w:t>
      </w:r>
      <w:r w:rsidR="00457AE3">
        <w:rPr>
          <w:iCs/>
        </w:rPr>
        <w:t xml:space="preserve"> </w:t>
      </w:r>
      <w:r w:rsidR="00E0617A">
        <w:rPr>
          <w:iCs/>
        </w:rPr>
        <w:t>litigation</w:t>
      </w:r>
      <w:r w:rsidR="00457AE3">
        <w:rPr>
          <w:iCs/>
        </w:rPr>
        <w:t>, and other EPA actions</w:t>
      </w:r>
      <w:r w:rsidR="00FD3001">
        <w:rPr>
          <w:iCs/>
        </w:rPr>
        <w:t>,</w:t>
      </w:r>
      <w:r w:rsidR="00B80368">
        <w:rPr>
          <w:iCs/>
        </w:rPr>
        <w:t xml:space="preserve"> </w:t>
      </w:r>
      <w:r w:rsidR="00693319">
        <w:rPr>
          <w:iCs/>
        </w:rPr>
        <w:t xml:space="preserve">Georgia Power remains committed to working with Georgia EPD on the </w:t>
      </w:r>
      <w:r w:rsidR="00B80368">
        <w:rPr>
          <w:iCs/>
        </w:rPr>
        <w:t xml:space="preserve">issuance of the </w:t>
      </w:r>
      <w:r w:rsidR="00693319">
        <w:rPr>
          <w:iCs/>
        </w:rPr>
        <w:t>remaining CCR permits</w:t>
      </w:r>
      <w:r w:rsidR="00E43542">
        <w:rPr>
          <w:iCs/>
        </w:rPr>
        <w:t xml:space="preserve">, as required by the </w:t>
      </w:r>
      <w:r w:rsidR="00F139DD">
        <w:rPr>
          <w:iCs/>
        </w:rPr>
        <w:t>Georgia</w:t>
      </w:r>
      <w:r w:rsidR="00E43542">
        <w:rPr>
          <w:iCs/>
        </w:rPr>
        <w:t xml:space="preserve"> CCR Rule</w:t>
      </w:r>
      <w:r w:rsidR="002A2DB1">
        <w:rPr>
          <w:iCs/>
        </w:rPr>
        <w:t>.</w:t>
      </w:r>
      <w:r w:rsidR="00652811">
        <w:rPr>
          <w:iCs/>
        </w:rPr>
        <w:t xml:space="preserve"> </w:t>
      </w:r>
    </w:p>
    <w:p w14:paraId="025A755E" w14:textId="7B62ACA5" w:rsidR="0003183D" w:rsidRDefault="00C65894" w:rsidP="0052335E">
      <w:pPr>
        <w:spacing w:before="120" w:after="0" w:line="240" w:lineRule="auto"/>
        <w:rPr>
          <w:color w:val="171717" w:themeColor="background2" w:themeShade="1A"/>
        </w:rPr>
      </w:pPr>
      <w:r>
        <w:rPr>
          <w:rFonts w:eastAsia="Arial"/>
        </w:rPr>
        <w:t>R</w:t>
      </w:r>
      <w:r w:rsidR="00A337A5">
        <w:rPr>
          <w:rFonts w:eastAsia="Arial"/>
        </w:rPr>
        <w:t xml:space="preserve">egardless of </w:t>
      </w:r>
      <w:r w:rsidR="00BD3A39">
        <w:rPr>
          <w:rFonts w:eastAsia="Arial"/>
        </w:rPr>
        <w:t xml:space="preserve">the timing of </w:t>
      </w:r>
      <w:r w:rsidR="00A337A5">
        <w:rPr>
          <w:rFonts w:eastAsia="Arial"/>
        </w:rPr>
        <w:t>permit issuance</w:t>
      </w:r>
      <w:r w:rsidR="003A6925">
        <w:rPr>
          <w:rFonts w:eastAsia="Arial"/>
        </w:rPr>
        <w:t>, i</w:t>
      </w:r>
      <w:r w:rsidR="008F0059" w:rsidRPr="3D2C2AF0">
        <w:rPr>
          <w:rFonts w:eastAsia="Arial"/>
        </w:rPr>
        <w:t xml:space="preserve">n order to </w:t>
      </w:r>
      <w:r w:rsidR="008F0059">
        <w:rPr>
          <w:rFonts w:eastAsia="Arial"/>
        </w:rPr>
        <w:t xml:space="preserve">advance ash pond closures and </w:t>
      </w:r>
      <w:r w:rsidR="008F0059" w:rsidRPr="3D2C2AF0">
        <w:rPr>
          <w:rFonts w:eastAsia="Arial"/>
        </w:rPr>
        <w:t xml:space="preserve">meet the </w:t>
      </w:r>
      <w:r w:rsidR="00603E48">
        <w:rPr>
          <w:rFonts w:eastAsia="Arial"/>
        </w:rPr>
        <w:t>closure</w:t>
      </w:r>
      <w:r w:rsidR="008F0059" w:rsidRPr="00A622F9">
        <w:rPr>
          <w:rFonts w:eastAsia="Arial"/>
        </w:rPr>
        <w:t xml:space="preserve"> deadlines associated with the F</w:t>
      </w:r>
      <w:r w:rsidR="008F0059" w:rsidRPr="00CF2EE0">
        <w:rPr>
          <w:rFonts w:eastAsia="Arial"/>
        </w:rPr>
        <w:t>ederal CCR Rule</w:t>
      </w:r>
      <w:r w:rsidR="00072656">
        <w:rPr>
          <w:rFonts w:eastAsia="Arial"/>
        </w:rPr>
        <w:t xml:space="preserve">, </w:t>
      </w:r>
      <w:r w:rsidR="008F0059" w:rsidRPr="00CF2EE0">
        <w:rPr>
          <w:rFonts w:eastAsia="Arial"/>
        </w:rPr>
        <w:t>Georgia CCR Rule</w:t>
      </w:r>
      <w:r w:rsidR="00A337A5">
        <w:rPr>
          <w:rFonts w:eastAsia="Arial"/>
        </w:rPr>
        <w:t>,</w:t>
      </w:r>
      <w:r w:rsidR="00072656">
        <w:rPr>
          <w:rFonts w:eastAsia="Arial"/>
        </w:rPr>
        <w:t xml:space="preserve"> </w:t>
      </w:r>
      <w:r w:rsidR="00603E48">
        <w:rPr>
          <w:rFonts w:eastAsia="Arial"/>
        </w:rPr>
        <w:t>or agreement with the EPD</w:t>
      </w:r>
      <w:r w:rsidR="008F0059" w:rsidRPr="00CF2EE0">
        <w:rPr>
          <w:rFonts w:eastAsia="Arial"/>
        </w:rPr>
        <w:t xml:space="preserve">, the Company must </w:t>
      </w:r>
      <w:r w:rsidR="008F0059">
        <w:rPr>
          <w:rFonts w:eastAsia="Arial"/>
        </w:rPr>
        <w:t xml:space="preserve">continue to </w:t>
      </w:r>
      <w:r w:rsidR="008F0059" w:rsidRPr="00CF2EE0">
        <w:rPr>
          <w:rFonts w:eastAsia="Arial"/>
        </w:rPr>
        <w:t>proceed with work, includ</w:t>
      </w:r>
      <w:r w:rsidR="008F0059" w:rsidRPr="00F860E2">
        <w:rPr>
          <w:rFonts w:eastAsia="Arial"/>
        </w:rPr>
        <w:t>ing groundwate</w:t>
      </w:r>
      <w:r w:rsidR="008F0059" w:rsidRPr="008564ED">
        <w:rPr>
          <w:rFonts w:eastAsia="Arial"/>
        </w:rPr>
        <w:t xml:space="preserve">r monitoring, detailed engineering designs, </w:t>
      </w:r>
      <w:r w:rsidR="008F0059" w:rsidRPr="00B33FE3">
        <w:rPr>
          <w:rFonts w:eastAsia="Arial"/>
        </w:rPr>
        <w:t>construction activities, as well as develop and implement site-specific and comprehensive ash pond dewatering processes</w:t>
      </w:r>
      <w:r w:rsidR="008F0059" w:rsidRPr="00A622F9">
        <w:rPr>
          <w:rFonts w:eastAsia="Arial"/>
        </w:rPr>
        <w:t>.</w:t>
      </w:r>
      <w:r w:rsidR="008F0059">
        <w:rPr>
          <w:rFonts w:eastAsia="Arial"/>
        </w:rPr>
        <w:t xml:space="preserve"> </w:t>
      </w:r>
      <w:r w:rsidR="00710382">
        <w:t xml:space="preserve">In certain instances, </w:t>
      </w:r>
      <w:r w:rsidR="00235341">
        <w:t xml:space="preserve">specific </w:t>
      </w:r>
      <w:r w:rsidR="00710382">
        <w:t xml:space="preserve">portions of the closure plans </w:t>
      </w:r>
      <w:r w:rsidR="00D46F6B">
        <w:t xml:space="preserve">are </w:t>
      </w:r>
      <w:r w:rsidR="00235341">
        <w:t xml:space="preserve">pending </w:t>
      </w:r>
      <w:r w:rsidR="00D46F6B">
        <w:t xml:space="preserve">EPD </w:t>
      </w:r>
      <w:r w:rsidR="00811DA5">
        <w:t xml:space="preserve">review and input through the </w:t>
      </w:r>
      <w:r w:rsidR="00D46F6B">
        <w:t xml:space="preserve">permitting </w:t>
      </w:r>
      <w:r w:rsidR="00811DA5">
        <w:t xml:space="preserve">process </w:t>
      </w:r>
      <w:proofErr w:type="gramStart"/>
      <w:r w:rsidR="00D46F6B">
        <w:t>in order to</w:t>
      </w:r>
      <w:proofErr w:type="gramEnd"/>
      <w:r w:rsidR="00D46F6B">
        <w:t xml:space="preserve"> finalize designs</w:t>
      </w:r>
      <w:r w:rsidR="00E37BAF">
        <w:t xml:space="preserve"> and/or implementation</w:t>
      </w:r>
      <w:r w:rsidR="00D46F6B">
        <w:t xml:space="preserve">. </w:t>
      </w:r>
      <w:r w:rsidR="007D06BD">
        <w:t>A</w:t>
      </w:r>
      <w:r w:rsidR="00E76A05">
        <w:t xml:space="preserve">t McDonough AP-1, </w:t>
      </w:r>
      <w:r w:rsidR="00835837">
        <w:t>while</w:t>
      </w:r>
      <w:r w:rsidR="00E76A05">
        <w:t xml:space="preserve"> </w:t>
      </w:r>
      <w:r w:rsidR="00C01F9F">
        <w:t>the closure is substantially complete</w:t>
      </w:r>
      <w:r w:rsidR="001B34E1">
        <w:t xml:space="preserve"> in accordance with CCR Rule requirements and deadlines</w:t>
      </w:r>
      <w:r w:rsidR="00C01F9F">
        <w:t xml:space="preserve">, </w:t>
      </w:r>
      <w:r w:rsidR="009D54AD">
        <w:t xml:space="preserve">EPD review of the </w:t>
      </w:r>
      <w:r w:rsidR="00C01F9F">
        <w:t>design</w:t>
      </w:r>
      <w:r w:rsidR="00FA02E7">
        <w:t xml:space="preserve"> </w:t>
      </w:r>
      <w:r w:rsidR="00F97381" w:rsidRPr="00F97381">
        <w:t xml:space="preserve">of </w:t>
      </w:r>
      <w:r w:rsidR="00E37BAF">
        <w:t>the</w:t>
      </w:r>
      <w:r w:rsidR="00F97381" w:rsidRPr="00F97381">
        <w:t xml:space="preserve"> fully encompassing barrier wall</w:t>
      </w:r>
      <w:r w:rsidR="00E37BAF">
        <w:t xml:space="preserve"> is </w:t>
      </w:r>
      <w:r w:rsidR="009D54AD">
        <w:t>ongoing</w:t>
      </w:r>
      <w:r w:rsidR="00F97381" w:rsidRPr="00F97381">
        <w:t xml:space="preserve">. </w:t>
      </w:r>
      <w:r w:rsidR="00495734" w:rsidRPr="007D2636">
        <w:t xml:space="preserve">Therefore, recognizing these factors are beyond the Company’s control, </w:t>
      </w:r>
      <w:r w:rsidR="00B07503" w:rsidRPr="007D2636">
        <w:t xml:space="preserve">EPD </w:t>
      </w:r>
      <w:r w:rsidR="00495734" w:rsidRPr="007D2636">
        <w:t>us</w:t>
      </w:r>
      <w:r w:rsidR="00495734">
        <w:t>ed</w:t>
      </w:r>
      <w:r w:rsidR="00495734" w:rsidRPr="007D2636">
        <w:t xml:space="preserve"> </w:t>
      </w:r>
      <w:r w:rsidR="00495734">
        <w:t>the</w:t>
      </w:r>
      <w:r w:rsidR="00495734" w:rsidRPr="007D2636">
        <w:t xml:space="preserve"> consent order </w:t>
      </w:r>
      <w:r w:rsidR="00DC3252">
        <w:t xml:space="preserve">process </w:t>
      </w:r>
      <w:r w:rsidR="00495734" w:rsidRPr="007D2636">
        <w:t>to provide additional time to complete the closure while finaliz</w:t>
      </w:r>
      <w:r w:rsidR="00495734">
        <w:t>ing</w:t>
      </w:r>
      <w:r w:rsidR="00495734" w:rsidRPr="007D2636">
        <w:t xml:space="preserve"> permit</w:t>
      </w:r>
      <w:r w:rsidR="00495734">
        <w:t>ting</w:t>
      </w:r>
      <w:r w:rsidR="00495734" w:rsidRPr="007D2636">
        <w:t xml:space="preserve">. </w:t>
      </w:r>
      <w:r w:rsidR="00F6538F">
        <w:t>I</w:t>
      </w:r>
      <w:r w:rsidR="00C22C5D">
        <w:t xml:space="preserve">n December 2022, </w:t>
      </w:r>
      <w:r w:rsidR="00363F62">
        <w:t>the Company</w:t>
      </w:r>
      <w:r w:rsidR="00C22C5D">
        <w:t xml:space="preserve"> entered into a consent agreement with the EPD to extend the closure timeline for McDonough AP-1</w:t>
      </w:r>
      <w:r w:rsidR="007A4108">
        <w:t xml:space="preserve"> </w:t>
      </w:r>
      <w:r w:rsidR="00DC3252">
        <w:t>and i</w:t>
      </w:r>
      <w:r w:rsidR="00DD185A">
        <w:t>n December 2023,</w:t>
      </w:r>
      <w:r w:rsidR="00B70E64">
        <w:t xml:space="preserve"> EPD approved of the milestone schedule submitted by the Company</w:t>
      </w:r>
      <w:r w:rsidR="00393BB1">
        <w:t xml:space="preserve"> in fulfillment of the</w:t>
      </w:r>
      <w:r w:rsidR="004E574C">
        <w:t xml:space="preserve"> consent order requirements.</w:t>
      </w:r>
    </w:p>
    <w:p w14:paraId="38DB1AED" w14:textId="30A9EF9F" w:rsidR="0003183D" w:rsidRPr="0003183D" w:rsidRDefault="0003183D" w:rsidP="0052335E">
      <w:pPr>
        <w:spacing w:before="120" w:after="0" w:line="240" w:lineRule="auto"/>
        <w:rPr>
          <w:color w:val="171717" w:themeColor="background2" w:themeShade="1A"/>
        </w:rPr>
      </w:pPr>
      <w:r>
        <w:rPr>
          <w:color w:val="171717" w:themeColor="background2" w:themeShade="1A"/>
        </w:rPr>
        <w:t>The Company</w:t>
      </w:r>
      <w:r w:rsidRPr="5A1D0B92">
        <w:rPr>
          <w:color w:val="171717" w:themeColor="background2" w:themeShade="1A"/>
        </w:rPr>
        <w:t xml:space="preserve"> </w:t>
      </w:r>
      <w:r w:rsidRPr="00B339EB">
        <w:rPr>
          <w:color w:val="171717" w:themeColor="background2" w:themeShade="1A"/>
        </w:rPr>
        <w:t xml:space="preserve">has provided landfill </w:t>
      </w:r>
      <w:r w:rsidRPr="006B6BF9">
        <w:rPr>
          <w:color w:val="171717" w:themeColor="background2" w:themeShade="1A"/>
        </w:rPr>
        <w:t xml:space="preserve">and ash pond closure certifications </w:t>
      </w:r>
      <w:r w:rsidRPr="06B81C21">
        <w:rPr>
          <w:color w:val="171717" w:themeColor="background2" w:themeShade="1A"/>
        </w:rPr>
        <w:t xml:space="preserve">and/or ash removal certifications </w:t>
      </w:r>
      <w:r w:rsidRPr="006B6BF9">
        <w:rPr>
          <w:color w:val="171717" w:themeColor="background2" w:themeShade="1A"/>
        </w:rPr>
        <w:t xml:space="preserve">to </w:t>
      </w:r>
      <w:r>
        <w:rPr>
          <w:color w:val="171717" w:themeColor="background2" w:themeShade="1A"/>
        </w:rPr>
        <w:t>Georgia</w:t>
      </w:r>
      <w:r w:rsidRPr="08F2E814">
        <w:rPr>
          <w:color w:val="171717" w:themeColor="background2" w:themeShade="1A"/>
        </w:rPr>
        <w:t xml:space="preserve"> </w:t>
      </w:r>
      <w:r w:rsidRPr="006B6BF9">
        <w:rPr>
          <w:color w:val="171717" w:themeColor="background2" w:themeShade="1A"/>
        </w:rPr>
        <w:t xml:space="preserve">EPD for </w:t>
      </w:r>
      <w:r>
        <w:rPr>
          <w:color w:val="171717" w:themeColor="background2" w:themeShade="1A"/>
        </w:rPr>
        <w:t xml:space="preserve">certain </w:t>
      </w:r>
      <w:r w:rsidRPr="006B6BF9">
        <w:rPr>
          <w:color w:val="171717" w:themeColor="background2" w:themeShade="1A"/>
        </w:rPr>
        <w:t xml:space="preserve">CCR Units at Plants Branch, Hammond, Kraft, McDonough, McManus, </w:t>
      </w:r>
      <w:r>
        <w:rPr>
          <w:color w:val="171717" w:themeColor="background2" w:themeShade="1A"/>
        </w:rPr>
        <w:t xml:space="preserve">McIntosh, </w:t>
      </w:r>
      <w:r w:rsidRPr="006B6BF9">
        <w:rPr>
          <w:color w:val="171717" w:themeColor="background2" w:themeShade="1A"/>
        </w:rPr>
        <w:t>and Yates.</w:t>
      </w:r>
      <w:r w:rsidRPr="00B42F8C">
        <w:rPr>
          <w:color w:val="171717" w:themeColor="background2" w:themeShade="1A"/>
        </w:rPr>
        <w:t xml:space="preserve"> These</w:t>
      </w:r>
      <w:r w:rsidRPr="0084296F">
        <w:rPr>
          <w:color w:val="171717" w:themeColor="background2" w:themeShade="1A"/>
        </w:rPr>
        <w:t xml:space="preserve"> certifications document important information regarding the closure activities, quality control information, and verification of compliance with the CCR rule. </w:t>
      </w:r>
      <w:r>
        <w:rPr>
          <w:color w:val="171717" w:themeColor="background2" w:themeShade="1A"/>
        </w:rPr>
        <w:t>Georgia</w:t>
      </w:r>
      <w:r w:rsidRPr="08F2E814">
        <w:rPr>
          <w:color w:val="171717" w:themeColor="background2" w:themeShade="1A"/>
        </w:rPr>
        <w:t xml:space="preserve"> </w:t>
      </w:r>
      <w:r w:rsidRPr="006B6BF9">
        <w:rPr>
          <w:color w:val="171717" w:themeColor="background2" w:themeShade="1A"/>
        </w:rPr>
        <w:t>EPD has issued acknowledgement letters for completion of CCR removal for</w:t>
      </w:r>
      <w:r>
        <w:rPr>
          <w:color w:val="171717" w:themeColor="background2" w:themeShade="1A"/>
        </w:rPr>
        <w:t xml:space="preserve"> certain CCR Units at</w:t>
      </w:r>
      <w:r w:rsidRPr="006B6BF9">
        <w:rPr>
          <w:color w:val="171717" w:themeColor="background2" w:themeShade="1A"/>
        </w:rPr>
        <w:t xml:space="preserve"> Plants McManus, McDonough</w:t>
      </w:r>
      <w:r>
        <w:rPr>
          <w:color w:val="171717" w:themeColor="background2" w:themeShade="1A"/>
        </w:rPr>
        <w:t>, McIntosh,</w:t>
      </w:r>
      <w:r w:rsidRPr="006B6BF9">
        <w:rPr>
          <w:color w:val="171717" w:themeColor="background2" w:themeShade="1A"/>
        </w:rPr>
        <w:t xml:space="preserve"> </w:t>
      </w:r>
      <w:r w:rsidRPr="006D3174">
        <w:rPr>
          <w:lang w:val="en"/>
        </w:rPr>
        <w:t>and Yates</w:t>
      </w:r>
      <w:r w:rsidRPr="000355BA">
        <w:rPr>
          <w:lang w:val="en"/>
        </w:rPr>
        <w:t>, demonstrating the Company’s compliance with the state CCR rule’s closure requirements as well as Georgia EPD’s active oversight regardless of final permit status.</w:t>
      </w:r>
    </w:p>
    <w:p w14:paraId="27AB27D2" w14:textId="6C2DEC9C" w:rsidR="005B14DA" w:rsidRDefault="008F0059" w:rsidP="0052335E">
      <w:pPr>
        <w:spacing w:before="120" w:after="0" w:line="240" w:lineRule="auto"/>
        <w:rPr>
          <w:rFonts w:eastAsia="Times New Roman"/>
        </w:rPr>
      </w:pPr>
      <w:r w:rsidRPr="00FB1CFC">
        <w:rPr>
          <w:lang w:val="en"/>
        </w:rPr>
        <w:lastRenderedPageBreak/>
        <w:t xml:space="preserve">The </w:t>
      </w:r>
      <w:r w:rsidR="001E3F85">
        <w:rPr>
          <w:lang w:val="en"/>
        </w:rPr>
        <w:t xml:space="preserve">purpose of the </w:t>
      </w:r>
      <w:r w:rsidRPr="00FB1CFC">
        <w:rPr>
          <w:lang w:val="en"/>
        </w:rPr>
        <w:t>Company’s CCR compliance strategy process is to produce cost-effective</w:t>
      </w:r>
      <w:r w:rsidRPr="00D94266">
        <w:rPr>
          <w:rFonts w:cs="Arial"/>
          <w:szCs w:val="24"/>
        </w:rPr>
        <w:t xml:space="preserve"> compliance solutions that will </w:t>
      </w:r>
      <w:r w:rsidRPr="0007236B">
        <w:rPr>
          <w:rFonts w:cs="Arial"/>
          <w:szCs w:val="24"/>
        </w:rPr>
        <w:t>minimiz</w:t>
      </w:r>
      <w:r>
        <w:rPr>
          <w:rFonts w:cs="Arial"/>
          <w:szCs w:val="24"/>
        </w:rPr>
        <w:t>e</w:t>
      </w:r>
      <w:r w:rsidRPr="00C20473">
        <w:rPr>
          <w:rFonts w:cs="Arial"/>
          <w:szCs w:val="24"/>
        </w:rPr>
        <w:t xml:space="preserve"> the </w:t>
      </w:r>
      <w:r w:rsidRPr="00C107D0">
        <w:rPr>
          <w:rFonts w:cs="Arial"/>
          <w:szCs w:val="24"/>
        </w:rPr>
        <w:t>impact to customers while ach</w:t>
      </w:r>
      <w:r w:rsidRPr="005A19C3">
        <w:rPr>
          <w:rFonts w:cs="Arial"/>
          <w:szCs w:val="24"/>
        </w:rPr>
        <w:t>ieving environmental objectives and ensuring compliance with all requirements.</w:t>
      </w:r>
      <w:r>
        <w:rPr>
          <w:rFonts w:cs="Arial"/>
          <w:szCs w:val="24"/>
        </w:rPr>
        <w:t xml:space="preserve"> </w:t>
      </w:r>
      <w:r w:rsidR="00271B22">
        <w:rPr>
          <w:rFonts w:cs="Arial"/>
          <w:szCs w:val="24"/>
        </w:rPr>
        <w:t xml:space="preserve">While uncertainty around EPA’s interpretation of the Federal CCR Rule requirements continues, </w:t>
      </w:r>
      <w:r>
        <w:rPr>
          <w:lang w:val="en"/>
        </w:rPr>
        <w:t xml:space="preserve">the Company remains focused on compliance and will continue to work with the Georgia EPD to ensure </w:t>
      </w:r>
      <w:r w:rsidRPr="001712B8">
        <w:rPr>
          <w:rFonts w:eastAsia="Times New Roman"/>
        </w:rPr>
        <w:t>safe and effective clos</w:t>
      </w:r>
      <w:r>
        <w:rPr>
          <w:rFonts w:eastAsia="Times New Roman"/>
        </w:rPr>
        <w:t>ure</w:t>
      </w:r>
      <w:r w:rsidRPr="001712B8">
        <w:rPr>
          <w:rFonts w:eastAsia="Times New Roman"/>
        </w:rPr>
        <w:t xml:space="preserve"> </w:t>
      </w:r>
      <w:r w:rsidR="00D24143">
        <w:rPr>
          <w:rFonts w:eastAsia="Times New Roman"/>
        </w:rPr>
        <w:t xml:space="preserve">of all </w:t>
      </w:r>
      <w:r w:rsidRPr="001712B8">
        <w:rPr>
          <w:rFonts w:eastAsia="Times New Roman"/>
        </w:rPr>
        <w:t>ash ponds</w:t>
      </w:r>
      <w:r w:rsidRPr="00A70F78">
        <w:rPr>
          <w:rFonts w:eastAsia="Times New Roman"/>
        </w:rPr>
        <w:t>.</w:t>
      </w:r>
      <w:bookmarkStart w:id="39" w:name="_Toc122090011"/>
      <w:bookmarkStart w:id="40" w:name="_Toc122090802"/>
      <w:bookmarkStart w:id="41" w:name="_Toc94197916"/>
    </w:p>
    <w:p w14:paraId="01804410" w14:textId="63141205" w:rsidR="005C1ED8" w:rsidRPr="009749A9" w:rsidRDefault="00E90288" w:rsidP="009749A9">
      <w:pPr>
        <w:spacing w:before="120" w:after="0" w:line="240" w:lineRule="auto"/>
        <w:rPr>
          <w:rFonts w:eastAsia="Times New Roman"/>
        </w:rPr>
      </w:pPr>
      <w:r w:rsidRPr="009D3A36">
        <w:rPr>
          <w:rStyle w:val="Emphasis"/>
          <w:b/>
          <w:bCs/>
          <w:i w:val="0"/>
          <w:iCs w:val="0"/>
          <w:sz w:val="22"/>
          <w:u w:val="none"/>
        </w:rPr>
        <w:t>Dewatering and Water Treatmen</w:t>
      </w:r>
      <w:bookmarkEnd w:id="39"/>
      <w:bookmarkEnd w:id="40"/>
      <w:r w:rsidR="009749A9">
        <w:rPr>
          <w:rStyle w:val="Emphasis"/>
          <w:b/>
          <w:bCs/>
          <w:i w:val="0"/>
          <w:iCs w:val="0"/>
          <w:sz w:val="22"/>
          <w:u w:val="none"/>
        </w:rPr>
        <w:t>t</w:t>
      </w:r>
    </w:p>
    <w:p w14:paraId="656C6F87" w14:textId="77777777" w:rsidR="00DD0842" w:rsidRPr="00DD0842" w:rsidRDefault="00DD0842" w:rsidP="00285C44">
      <w:pPr>
        <w:spacing w:after="0" w:line="240" w:lineRule="auto"/>
      </w:pPr>
      <w:r>
        <w:rPr>
          <w:lang w:val="en"/>
        </w:rPr>
        <w:t>The Com</w:t>
      </w:r>
      <w:r w:rsidR="00EA240C" w:rsidRPr="003D640E">
        <w:rPr>
          <w:lang w:val="en"/>
        </w:rPr>
        <w:t xml:space="preserve">pany’s dewatering process during ash pond closures involves treating all </w:t>
      </w:r>
      <w:r w:rsidR="00560A9A">
        <w:rPr>
          <w:lang w:val="en"/>
        </w:rPr>
        <w:t xml:space="preserve">ash </w:t>
      </w:r>
      <w:r w:rsidR="00EA240C" w:rsidRPr="003D640E">
        <w:rPr>
          <w:lang w:val="en"/>
        </w:rPr>
        <w:t xml:space="preserve">contact water to meet the requirements of each plant’s wastewater permit, as well as the associated dewatering plans approved by the EPD, to ensure compliance with water quality standards. The dewatering activities occur under the direction of independent, third-party licensed </w:t>
      </w:r>
      <w:r w:rsidR="00EA240C" w:rsidRPr="00DE6998">
        <w:rPr>
          <w:lang w:val="en"/>
        </w:rPr>
        <w:t>wastewater treatment plant operators throughout the duration of each closure project.</w:t>
      </w:r>
      <w:r w:rsidR="00EA240C">
        <w:rPr>
          <w:lang w:val="en"/>
        </w:rPr>
        <w:t xml:space="preserve"> </w:t>
      </w:r>
      <w:r w:rsidR="00EA240C" w:rsidRPr="00DE6998">
        <w:rPr>
          <w:lang w:val="en"/>
        </w:rPr>
        <w:t>W</w:t>
      </w:r>
      <w:r w:rsidR="00EA240C" w:rsidRPr="003D640E">
        <w:rPr>
          <w:lang w:val="en"/>
        </w:rPr>
        <w:t>ater quality monitoring data is reported monthly to the EPD, and a monthly summary is also placed on Georgia Power’s external website. In</w:t>
      </w:r>
      <w:r w:rsidR="00EA240C" w:rsidRPr="003D640E" w:rsidDel="00751F43">
        <w:rPr>
          <w:lang w:val="en"/>
        </w:rPr>
        <w:t xml:space="preserve"> </w:t>
      </w:r>
      <w:r w:rsidR="00EA240C" w:rsidRPr="003D640E">
        <w:rPr>
          <w:lang w:val="en"/>
        </w:rPr>
        <w:t xml:space="preserve">some cases, water treatment may continue into the </w:t>
      </w:r>
      <w:r w:rsidR="00EA240C">
        <w:rPr>
          <w:lang w:val="en"/>
        </w:rPr>
        <w:t>post-closure care (“</w:t>
      </w:r>
      <w:r w:rsidR="00EA240C" w:rsidRPr="003D640E">
        <w:rPr>
          <w:lang w:val="en"/>
        </w:rPr>
        <w:t>PCC</w:t>
      </w:r>
      <w:r w:rsidR="00EA240C">
        <w:rPr>
          <w:lang w:val="en"/>
        </w:rPr>
        <w:t>”)</w:t>
      </w:r>
      <w:r w:rsidR="00EA240C" w:rsidRPr="003D640E">
        <w:rPr>
          <w:lang w:val="en"/>
        </w:rPr>
        <w:t xml:space="preserve"> period to manage ongoing water treatment </w:t>
      </w:r>
      <w:r w:rsidR="00EA240C" w:rsidRPr="00DD0842">
        <w:t>requirements. This support will continue until the needs of the sites are addressed. In addition, the Company has engaged independent, third-party contractors for weekly effluent and bi-monthly receiving stream sampling throughout dewatering.</w:t>
      </w:r>
      <w:r w:rsidR="00EA240C" w:rsidRPr="00DD0842" w:rsidDel="005A13B2">
        <w:t xml:space="preserve"> </w:t>
      </w:r>
      <w:r w:rsidR="00EA240C" w:rsidRPr="00DD0842">
        <w:t xml:space="preserve">Samples collected by independent contractors are analyzed by accredited independent laboratories. </w:t>
      </w:r>
    </w:p>
    <w:p w14:paraId="6717C3CB" w14:textId="1D2311BE" w:rsidR="0052335E" w:rsidRDefault="00EA240C" w:rsidP="00285C44">
      <w:pPr>
        <w:spacing w:before="120" w:after="0" w:line="240" w:lineRule="auto"/>
        <w:rPr>
          <w:lang w:val="en"/>
        </w:rPr>
      </w:pPr>
      <w:r w:rsidRPr="00DD0842">
        <w:t>The dewatering process is dynamic and complex. The treatment system demands are often impacted by rainfall</w:t>
      </w:r>
      <w:r w:rsidRPr="003D640E">
        <w:rPr>
          <w:lang w:val="en"/>
        </w:rPr>
        <w:t xml:space="preserve"> and site-specific closure conditions. For these reasons, the required treatment technologies may be different at each site and may change during the closure process to support the needs of the site, which may cause labor resources, operating schedules, and associated costs to fluctuate. The Company will adjust the individual site water treatment infrastructure to align with site needs </w:t>
      </w:r>
      <w:r>
        <w:rPr>
          <w:lang w:val="en"/>
        </w:rPr>
        <w:t>and regulatory requirements</w:t>
      </w:r>
      <w:r w:rsidRPr="003D640E">
        <w:rPr>
          <w:lang w:val="en"/>
        </w:rPr>
        <w:t xml:space="preserve"> during closure and post-closure as required. </w:t>
      </w:r>
    </w:p>
    <w:p w14:paraId="05C625A8" w14:textId="1CD2E3FF" w:rsidR="005A14EA" w:rsidRDefault="004C5887" w:rsidP="00AE7C4F">
      <w:pPr>
        <w:spacing w:before="120" w:after="0" w:line="240" w:lineRule="auto"/>
        <w:rPr>
          <w:b/>
          <w:bCs/>
          <w:lang w:val="en"/>
        </w:rPr>
      </w:pPr>
      <w:r w:rsidRPr="009D3A36">
        <w:rPr>
          <w:rStyle w:val="Emphasis"/>
          <w:b/>
          <w:bCs/>
          <w:i w:val="0"/>
          <w:iCs w:val="0"/>
          <w:sz w:val="22"/>
          <w:u w:val="none"/>
        </w:rPr>
        <w:t xml:space="preserve">Groundwater Monitoring and Post Closure </w:t>
      </w:r>
      <w:bookmarkStart w:id="42" w:name="_Hlk115274284"/>
      <w:bookmarkStart w:id="43" w:name="_Toc122090012"/>
      <w:bookmarkStart w:id="44" w:name="_Toc122090803"/>
      <w:r w:rsidR="00285C44">
        <w:rPr>
          <w:rStyle w:val="Emphasis"/>
          <w:b/>
          <w:bCs/>
          <w:i w:val="0"/>
          <w:iCs w:val="0"/>
          <w:sz w:val="22"/>
          <w:u w:val="none"/>
        </w:rPr>
        <w:t>Care</w:t>
      </w:r>
    </w:p>
    <w:p w14:paraId="366C3E44" w14:textId="77777777" w:rsidR="00285C44" w:rsidRDefault="002723F6" w:rsidP="00285C44">
      <w:pPr>
        <w:spacing w:after="0" w:line="240" w:lineRule="auto"/>
      </w:pPr>
      <w:r w:rsidRPr="003D640E">
        <w:t xml:space="preserve">Georgia Power continues to monitor groundwater at its ash ponds and CCR landfills and to report the results to the EPD, as well as to post regular updates to the Company's external website. Georgia Power has installed comprehensive groundwater monitoring networks, </w:t>
      </w:r>
      <w:r w:rsidRPr="00285C44">
        <w:t>including more than 600 wells,</w:t>
      </w:r>
      <w:r w:rsidRPr="003D640E">
        <w:t xml:space="preserve"> at its facilities across the state to actively monitor groundwater quality at each site. </w:t>
      </w:r>
      <w:bookmarkEnd w:id="42"/>
      <w:r w:rsidR="004F71E2" w:rsidRPr="003D640E">
        <w:t xml:space="preserve">As required under the </w:t>
      </w:r>
      <w:r w:rsidR="00997C8F">
        <w:t>federal and state</w:t>
      </w:r>
      <w:r w:rsidR="004F71E2" w:rsidRPr="003D640E">
        <w:t xml:space="preserve"> CCR Rules, the Company perform</w:t>
      </w:r>
      <w:r w:rsidR="007E4644">
        <w:t>s</w:t>
      </w:r>
      <w:r w:rsidR="004F71E2" w:rsidRPr="003D640E">
        <w:t xml:space="preserve"> routine sampling and reporting for the compliance parameters listed in the </w:t>
      </w:r>
      <w:r w:rsidR="00997C8F">
        <w:t xml:space="preserve">federal and state </w:t>
      </w:r>
      <w:r w:rsidR="0033626A">
        <w:t xml:space="preserve">CCR </w:t>
      </w:r>
      <w:r w:rsidR="004F71E2" w:rsidRPr="003D640E">
        <w:t>Rules.</w:t>
      </w:r>
      <w:r w:rsidR="004F71E2" w:rsidRPr="00285C44">
        <w:t xml:space="preserve"> </w:t>
      </w:r>
      <w:r w:rsidR="004F71E2" w:rsidRPr="003D640E">
        <w:t xml:space="preserve">Where parameters have been observed at statistical levels above the groundwater protection standard (“GWPS”), the Company </w:t>
      </w:r>
      <w:r w:rsidR="004F71E2">
        <w:t>has completed evaluations and, when necessary,</w:t>
      </w:r>
      <w:r w:rsidR="004F71E2" w:rsidRPr="003D640E">
        <w:t xml:space="preserve"> </w:t>
      </w:r>
      <w:proofErr w:type="gramStart"/>
      <w:r w:rsidR="004F71E2" w:rsidRPr="003D640E">
        <w:t>entered into</w:t>
      </w:r>
      <w:proofErr w:type="gramEnd"/>
      <w:r w:rsidR="004F71E2" w:rsidRPr="003D640E">
        <w:t xml:space="preserve"> assessment of corrective measures (“ACM”). </w:t>
      </w:r>
    </w:p>
    <w:p w14:paraId="4EC62152" w14:textId="10F587ED" w:rsidR="002723F6" w:rsidRPr="00285C44" w:rsidRDefault="006F36F4" w:rsidP="00285C44">
      <w:pPr>
        <w:spacing w:before="120" w:after="0" w:line="240" w:lineRule="auto"/>
      </w:pPr>
      <w:r w:rsidRPr="003D640E">
        <w:t xml:space="preserve">As required under the </w:t>
      </w:r>
      <w:r w:rsidR="00997C8F">
        <w:t xml:space="preserve">federal and state </w:t>
      </w:r>
      <w:r w:rsidRPr="003D640E">
        <w:t>CCR Rules, the Company has installed additional monitoring wells to further characterize groundwater quality near CCR units in ACM. As the Company continues the ACM process, prior to implementing a corrective measure or remedy, the Company will conduct additional activities such as continued site characterization (including groundwater sampling, well and piezometer installation, and laboratory bench scale testing), remedy selection, and reporting to the EPD.</w:t>
      </w:r>
      <w:r w:rsidRPr="00285C44">
        <w:t xml:space="preserve"> </w:t>
      </w:r>
      <w:bookmarkEnd w:id="41"/>
      <w:bookmarkEnd w:id="43"/>
      <w:bookmarkEnd w:id="44"/>
      <w:r w:rsidR="000A496A">
        <w:t xml:space="preserve">Following further data evaluation and EPD concurrence with the proposed remedies, the </w:t>
      </w:r>
      <w:r w:rsidR="00137A1E">
        <w:t xml:space="preserve">Company is required by the CCR Rule to </w:t>
      </w:r>
      <w:r w:rsidR="000A496A">
        <w:t>host</w:t>
      </w:r>
      <w:r w:rsidR="00137A1E">
        <w:t xml:space="preserve"> </w:t>
      </w:r>
      <w:r w:rsidR="000A496A">
        <w:t>a public meeting to solicit public comments on the proposed remedy</w:t>
      </w:r>
      <w:r w:rsidR="00137A1E">
        <w:t>.</w:t>
      </w:r>
    </w:p>
    <w:p w14:paraId="2698F4B0" w14:textId="5F6625B6" w:rsidR="00116257" w:rsidRPr="0031118F" w:rsidRDefault="00116257" w:rsidP="00285C44">
      <w:pPr>
        <w:spacing w:before="120" w:after="0" w:line="240" w:lineRule="auto"/>
        <w:rPr>
          <w:lang w:val="en"/>
        </w:rPr>
      </w:pPr>
      <w:r w:rsidRPr="00285C44">
        <w:t>Once ash pond</w:t>
      </w:r>
      <w:r w:rsidRPr="00293B40">
        <w:rPr>
          <w:lang w:val="en"/>
        </w:rPr>
        <w:t xml:space="preserve"> closure</w:t>
      </w:r>
      <w:r w:rsidRPr="002D4674">
        <w:t xml:space="preserve"> is complete, post closure care will be implemented in accordance with the </w:t>
      </w:r>
      <w:r>
        <w:t>F</w:t>
      </w:r>
      <w:r w:rsidRPr="002D4674">
        <w:t xml:space="preserve">ederal and </w:t>
      </w:r>
      <w:r>
        <w:t>Georgia</w:t>
      </w:r>
      <w:r w:rsidRPr="002D4674">
        <w:t xml:space="preserve"> CCR rules. </w:t>
      </w:r>
      <w:r>
        <w:t>P</w:t>
      </w:r>
      <w:r w:rsidRPr="002D4674">
        <w:t xml:space="preserve">ost closure care will include inspecting CCR landfills and former ash ponds that are closed in place to verify continued structural integrity, maintaining the integrity </w:t>
      </w:r>
      <w:r>
        <w:t xml:space="preserve">and </w:t>
      </w:r>
      <w:r w:rsidRPr="002D4674">
        <w:t xml:space="preserve">effectiveness of the final cover system for close in place units, maintaining </w:t>
      </w:r>
      <w:r>
        <w:t xml:space="preserve">and sampling </w:t>
      </w:r>
      <w:r w:rsidRPr="002D4674">
        <w:t>the groundwater monitoring systems</w:t>
      </w:r>
      <w:r>
        <w:t>, and regulatory reporting</w:t>
      </w:r>
      <w:r w:rsidRPr="002D4674">
        <w:t xml:space="preserve">. </w:t>
      </w:r>
    </w:p>
    <w:p w14:paraId="3E996320" w14:textId="77777777" w:rsidR="00285C44" w:rsidRDefault="00285C44" w:rsidP="00C942DB">
      <w:pPr>
        <w:spacing w:before="120" w:after="0" w:line="240" w:lineRule="auto"/>
        <w:rPr>
          <w:rStyle w:val="Emphasis"/>
          <w:b/>
          <w:bCs/>
          <w:i w:val="0"/>
          <w:iCs w:val="0"/>
          <w:sz w:val="22"/>
          <w:u w:val="none"/>
        </w:rPr>
      </w:pPr>
    </w:p>
    <w:p w14:paraId="66A55F13" w14:textId="61817604" w:rsidR="005F5CCE" w:rsidRPr="009D3A36" w:rsidRDefault="005F5CCE" w:rsidP="00C942DB">
      <w:pPr>
        <w:spacing w:before="120" w:after="0" w:line="240" w:lineRule="auto"/>
        <w:rPr>
          <w:rStyle w:val="Emphasis"/>
          <w:sz w:val="22"/>
        </w:rPr>
      </w:pPr>
      <w:r w:rsidRPr="009D3A36">
        <w:rPr>
          <w:rStyle w:val="Emphasis"/>
          <w:b/>
          <w:bCs/>
          <w:i w:val="0"/>
          <w:iCs w:val="0"/>
          <w:sz w:val="22"/>
          <w:u w:val="none"/>
        </w:rPr>
        <w:lastRenderedPageBreak/>
        <w:t>Beneficial Use</w:t>
      </w:r>
    </w:p>
    <w:p w14:paraId="0AB5D027" w14:textId="2BF60B05" w:rsidR="00467C9B" w:rsidRPr="002F0966" w:rsidRDefault="003517DD" w:rsidP="00AE7C4F">
      <w:pPr>
        <w:spacing w:after="0" w:line="240" w:lineRule="auto"/>
      </w:pPr>
      <w:r w:rsidRPr="002F0966">
        <w:t xml:space="preserve">One key aspect of Georgia Power’s CCR </w:t>
      </w:r>
      <w:r w:rsidR="00285C44">
        <w:t xml:space="preserve">plans </w:t>
      </w:r>
      <w:r w:rsidRPr="002F0966">
        <w:t xml:space="preserve">is to use a market driven approach to beneficial use </w:t>
      </w:r>
      <w:r w:rsidR="005F5CCE" w:rsidRPr="002F0966">
        <w:t>to optimize the cost of CCR unit closures</w:t>
      </w:r>
      <w:r w:rsidR="00D00572" w:rsidRPr="002F0966">
        <w:t>.</w:t>
      </w:r>
      <w:r w:rsidR="00F72A5D" w:rsidRPr="002F0966">
        <w:t xml:space="preserve"> </w:t>
      </w:r>
      <w:r w:rsidR="00E573D9" w:rsidRPr="002F0966">
        <w:t xml:space="preserve">To minimize or offset costs related to CCR storage, landfill construction, and associated </w:t>
      </w:r>
      <w:r w:rsidR="002E3FA9" w:rsidRPr="002F0966">
        <w:t>operations and maintenance (</w:t>
      </w:r>
      <w:r w:rsidR="00E63707">
        <w:t>“</w:t>
      </w:r>
      <w:r w:rsidR="00E573D9" w:rsidRPr="002F0966">
        <w:t>O&amp;M</w:t>
      </w:r>
      <w:r w:rsidR="00E63707">
        <w:t>”</w:t>
      </w:r>
      <w:r w:rsidR="002E3FA9" w:rsidRPr="002F0966">
        <w:t>)</w:t>
      </w:r>
      <w:r w:rsidR="00E573D9" w:rsidRPr="002F0966">
        <w:t xml:space="preserve">, Georgia Power </w:t>
      </w:r>
      <w:r w:rsidR="00A061A4">
        <w:t>has</w:t>
      </w:r>
      <w:r w:rsidR="00A061A4" w:rsidRPr="003D640E">
        <w:t xml:space="preserve"> market</w:t>
      </w:r>
      <w:r w:rsidR="00A061A4">
        <w:t>ed</w:t>
      </w:r>
      <w:r w:rsidR="008E6CD4" w:rsidRPr="008E6CD4">
        <w:t xml:space="preserve"> </w:t>
      </w:r>
      <w:r w:rsidR="008E6CD4" w:rsidRPr="003D640E">
        <w:t>for beneficial use</w:t>
      </w:r>
      <w:r w:rsidR="00A061A4">
        <w:t>, over a four-year average,</w:t>
      </w:r>
      <w:r w:rsidR="00A061A4" w:rsidRPr="003D640E">
        <w:t xml:space="preserve"> more than 85 percent of the CCR generated from plant operations</w:t>
      </w:r>
      <w:r w:rsidR="00E573D9" w:rsidRPr="002F0966">
        <w:t>. Georgia Power</w:t>
      </w:r>
      <w:r w:rsidR="00F72A5D" w:rsidRPr="002F0966">
        <w:t>’s fleetwide CCR closure strategy</w:t>
      </w:r>
      <w:r w:rsidR="00E573D9" w:rsidRPr="002F0966">
        <w:t xml:space="preserve"> </w:t>
      </w:r>
      <w:r w:rsidR="00131C37">
        <w:t xml:space="preserve">includes </w:t>
      </w:r>
      <w:r w:rsidR="00E573D9" w:rsidRPr="002F0966">
        <w:t>evaluat</w:t>
      </w:r>
      <w:r w:rsidR="00131C37">
        <w:t>ing</w:t>
      </w:r>
      <w:r w:rsidR="00E573D9" w:rsidRPr="002F0966">
        <w:t xml:space="preserve"> opportunities to recycle ponded ash during closures as viable opportunities arise and technology and markets develop. </w:t>
      </w:r>
      <w:r w:rsidR="00FA6702" w:rsidRPr="002F0966">
        <w:t xml:space="preserve">The Company intends to </w:t>
      </w:r>
      <w:r w:rsidR="00BB348E" w:rsidRPr="002F0966">
        <w:t>maximize the benefits of beneficial use by engaging in R&amp;D</w:t>
      </w:r>
      <w:r w:rsidR="002A7923" w:rsidRPr="002F0966">
        <w:t xml:space="preserve"> </w:t>
      </w:r>
      <w:r w:rsidR="00BB348E" w:rsidRPr="002F0966">
        <w:t>(a</w:t>
      </w:r>
      <w:r w:rsidR="00FA6702" w:rsidRPr="002F0966">
        <w:t xml:space="preserve">s discussed in </w:t>
      </w:r>
      <w:hyperlink w:anchor="_ECS_-_Appendix" w:history="1">
        <w:r w:rsidR="00FA6702" w:rsidRPr="002F0966">
          <w:t xml:space="preserve">Appendix </w:t>
        </w:r>
        <w:r w:rsidR="0016758E" w:rsidRPr="002F0966">
          <w:t>C</w:t>
        </w:r>
      </w:hyperlink>
      <w:r w:rsidR="00BB348E" w:rsidRPr="002F0966">
        <w:t xml:space="preserve"> with</w:t>
      </w:r>
      <w:r w:rsidR="00FA6702" w:rsidRPr="002F0966">
        <w:t xml:space="preserve"> </w:t>
      </w:r>
      <w:r w:rsidR="00E573D9" w:rsidRPr="002F0966">
        <w:t xml:space="preserve">the </w:t>
      </w:r>
      <w:r w:rsidR="00FA6702" w:rsidRPr="002F0966">
        <w:t>Ash Beneficial Use Center</w:t>
      </w:r>
      <w:r w:rsidR="00BB348E" w:rsidRPr="002F0966">
        <w:t xml:space="preserve">), </w:t>
      </w:r>
      <w:r w:rsidR="002A7923" w:rsidRPr="002F0966">
        <w:t xml:space="preserve">leveraging geographical </w:t>
      </w:r>
      <w:r w:rsidR="00CA7446" w:rsidRPr="002F0966">
        <w:t>market opportunities, and us</w:t>
      </w:r>
      <w:r w:rsidR="002A7923" w:rsidRPr="002F0966">
        <w:t>ing</w:t>
      </w:r>
      <w:r w:rsidR="00CA7446" w:rsidRPr="002F0966">
        <w:t xml:space="preserve"> the competitive bidding process</w:t>
      </w:r>
      <w:r w:rsidR="00621541" w:rsidRPr="002F0966">
        <w:t>.</w:t>
      </w:r>
      <w:r w:rsidR="00E573D9" w:rsidRPr="002F0966">
        <w:t xml:space="preserve"> The Company will continue to seek out beneficial use opportunities during ash pond closures where it adds value for the Company and our customers and will continue working with Georgia EPD to obtain any permit modifications in the future</w:t>
      </w:r>
      <w:r w:rsidR="00910553">
        <w:t xml:space="preserve"> needed</w:t>
      </w:r>
      <w:r w:rsidR="00E573D9" w:rsidRPr="002F0966">
        <w:t xml:space="preserve"> to support beneficial use. </w:t>
      </w:r>
    </w:p>
    <w:p w14:paraId="11BBEF9C" w14:textId="0F43CFEA" w:rsidR="0098208A" w:rsidRDefault="00B8385B" w:rsidP="0098208A">
      <w:pPr>
        <w:spacing w:before="120" w:after="0" w:line="240" w:lineRule="auto"/>
      </w:pPr>
      <w:r>
        <w:t xml:space="preserve">The beneficial use plans at Plant Mitchell are an example of leveraging geographical market opportunities, with the </w:t>
      </w:r>
      <w:r w:rsidR="00AE6CD0">
        <w:t>s</w:t>
      </w:r>
      <w:r>
        <w:t xml:space="preserve">outh Georgia site able to take advantage of </w:t>
      </w:r>
      <w:r w:rsidR="000A6045">
        <w:t xml:space="preserve">its proximity to </w:t>
      </w:r>
      <w:r>
        <w:t xml:space="preserve">Portland </w:t>
      </w:r>
      <w:r w:rsidR="00D84900">
        <w:t>c</w:t>
      </w:r>
      <w:r>
        <w:t xml:space="preserve">ement </w:t>
      </w:r>
      <w:r w:rsidR="00D84900">
        <w:t xml:space="preserve">and concrete </w:t>
      </w:r>
      <w:r>
        <w:t xml:space="preserve">processing facilities located </w:t>
      </w:r>
      <w:r w:rsidR="002F2F58">
        <w:t>p</w:t>
      </w:r>
      <w:r w:rsidR="00E67EA0">
        <w:t xml:space="preserve">rimarily </w:t>
      </w:r>
      <w:r>
        <w:t>in Florida</w:t>
      </w:r>
      <w:r w:rsidR="0052416D">
        <w:t>, with additional potential opportunities in the Southeast</w:t>
      </w:r>
      <w:r>
        <w:t xml:space="preserve">. </w:t>
      </w:r>
      <w:r w:rsidR="000A6045">
        <w:t>This proximity is important to the cost effectiveness of th</w:t>
      </w:r>
      <w:r w:rsidR="00897D93">
        <w:t>e</w:t>
      </w:r>
      <w:r w:rsidR="000A6045">
        <w:t xml:space="preserve"> beneficial use project to </w:t>
      </w:r>
      <w:r w:rsidR="00467C9B" w:rsidRPr="003D640E">
        <w:t>remove the stored coal ash at Plant Mitchell’s three ash ponds. Over the next several years, up to approximately two million tons of ash are planned to be removed from the site to help create Portland cement</w:t>
      </w:r>
      <w:r w:rsidR="00D84900">
        <w:t xml:space="preserve">, reducing </w:t>
      </w:r>
      <w:r w:rsidR="00467C9B" w:rsidRPr="003D640E">
        <w:t>the amount of ash required to be removed to an off-site landfill and ultimately serv</w:t>
      </w:r>
      <w:r w:rsidR="00D84900">
        <w:t>ing</w:t>
      </w:r>
      <w:r w:rsidR="00467C9B" w:rsidRPr="003D640E">
        <w:t xml:space="preserve"> to produce a valuable product. </w:t>
      </w:r>
    </w:p>
    <w:p w14:paraId="3E8D0EDA" w14:textId="77777777" w:rsidR="0098208A" w:rsidRDefault="00272F7C" w:rsidP="0098208A">
      <w:pPr>
        <w:spacing w:before="120" w:after="0" w:line="240" w:lineRule="auto"/>
      </w:pPr>
      <w:r w:rsidRPr="00B767A3">
        <w:t>In December 2019, Georgia Power announced an RFP seeking to identify opportunities and maximize the value for the beneficial use of stored coal ash at active and retired Georgia Power plants across the state.  Georgia Power advertised the RFP and invited interested parties to participate. Initial bids were received from 16 bidders in October 2020. In early 2021, discussions were held with each of the entities that submitted proposals, and bidders were allowed to update their proposals.   </w:t>
      </w:r>
    </w:p>
    <w:p w14:paraId="6890072B" w14:textId="77777777" w:rsidR="0022102C" w:rsidRDefault="00272F7C" w:rsidP="0022102C">
      <w:pPr>
        <w:spacing w:before="120" w:after="0" w:line="240" w:lineRule="auto"/>
      </w:pPr>
      <w:r w:rsidRPr="00B767A3">
        <w:t xml:space="preserve">The </w:t>
      </w:r>
      <w:proofErr w:type="gramStart"/>
      <w:r w:rsidRPr="00B767A3">
        <w:t>aforementioned proposals</w:t>
      </w:r>
      <w:proofErr w:type="gramEnd"/>
      <w:r w:rsidRPr="00B767A3">
        <w:t xml:space="preserve"> provided numerous options for consideration and </w:t>
      </w:r>
      <w:r w:rsidRPr="00B767A3" w:rsidDel="00D43B23">
        <w:t xml:space="preserve">a </w:t>
      </w:r>
      <w:r w:rsidRPr="00B767A3">
        <w:t>thorough review of the proposals was performed. A third-party engineering consultant supported the Company’s evaluation to assess which proposals offered the most value to customers. The Company’s evaluation included the effects of the various beneficial use proposals on closure plans, project timelines, project costs, project sequencing, and project infrastructure requirements. The results of the assessment indicated that</w:t>
      </w:r>
      <w:r w:rsidRPr="00B767A3">
        <w:rPr>
          <w:rStyle w:val="normaltextrun"/>
          <w:color w:val="000000" w:themeColor="text1"/>
        </w:rPr>
        <w:t xml:space="preserve"> the potential benefits are highly site-specific, and </w:t>
      </w:r>
      <w:r w:rsidRPr="00B767A3">
        <w:rPr>
          <w:rStyle w:val="findhit"/>
          <w:color w:val="000000" w:themeColor="text1"/>
        </w:rPr>
        <w:t xml:space="preserve">beneficial </w:t>
      </w:r>
      <w:r w:rsidRPr="00B767A3">
        <w:rPr>
          <w:rStyle w:val="normaltextrun"/>
          <w:color w:val="000000" w:themeColor="text1"/>
        </w:rPr>
        <w:t xml:space="preserve">use can also add costs or complexity to the closure plans in certain cases. </w:t>
      </w:r>
      <w:r w:rsidRPr="00B767A3">
        <w:t xml:space="preserve">The RFP evaluation demonstrated that not all beneficial use proposals and opportunities present savings, confirming that a market-driven approach is in the best interest of customers over the long term. </w:t>
      </w:r>
    </w:p>
    <w:p w14:paraId="23873B70" w14:textId="77777777" w:rsidR="0013549A" w:rsidRDefault="0022102C" w:rsidP="0013549A">
      <w:pPr>
        <w:spacing w:before="120" w:after="0" w:line="240" w:lineRule="auto"/>
      </w:pPr>
      <w:r w:rsidRPr="00B767A3">
        <w:t xml:space="preserve">As a result of the RFP process and project analysis, Plants Bowen and Branch will incorporate ash beneficial use </w:t>
      </w:r>
      <w:proofErr w:type="gramStart"/>
      <w:r w:rsidRPr="00B767A3">
        <w:t>in an effort to</w:t>
      </w:r>
      <w:proofErr w:type="gramEnd"/>
      <w:r w:rsidRPr="00B767A3">
        <w:t xml:space="preserve"> return an expected net positive benefit for customers. Expected benefits associated with these beneficial use projects include increased ash sales, reduced long term liability associated with onsite ash storage, and reduced closure costs. Reduced costs could take the form of reduced ash volumes moved during closure, a reduced closure footprint, reduced landfill space needed to support closure, and/or reduced post closure care.</w:t>
      </w:r>
    </w:p>
    <w:p w14:paraId="0BB41B34" w14:textId="76A8659D" w:rsidR="00160D5A" w:rsidRPr="00960F43" w:rsidRDefault="00955684" w:rsidP="0013549A">
      <w:pPr>
        <w:spacing w:before="120" w:after="0" w:line="240" w:lineRule="auto"/>
      </w:pPr>
      <w:r w:rsidRPr="005722B6">
        <w:t xml:space="preserve">In June 2022, Georgia Power announced </w:t>
      </w:r>
      <w:r w:rsidR="00275456">
        <w:t>the</w:t>
      </w:r>
      <w:r w:rsidRPr="005722B6">
        <w:t xml:space="preserve"> beneficial use project at Plant Bowen, where </w:t>
      </w:r>
      <w:r w:rsidR="0013549A">
        <w:t>investments are being made</w:t>
      </w:r>
      <w:r w:rsidR="00EC0BEA">
        <w:t xml:space="preserve"> to excavate</w:t>
      </w:r>
      <w:r w:rsidR="0013549A">
        <w:t xml:space="preserve"> </w:t>
      </w:r>
      <w:r w:rsidR="00C06582">
        <w:t xml:space="preserve">up to nine </w:t>
      </w:r>
      <w:r w:rsidRPr="005722B6">
        <w:t>million</w:t>
      </w:r>
      <w:r w:rsidR="00C06582">
        <w:t xml:space="preserve"> tons</w:t>
      </w:r>
      <w:r w:rsidRPr="005722B6">
        <w:t xml:space="preserve"> of coal ash </w:t>
      </w:r>
      <w:r w:rsidR="006C3B22" w:rsidRPr="005722B6">
        <w:t>to generate a marketable ash product specifically for cement replacement in concrete</w:t>
      </w:r>
      <w:r w:rsidRPr="005722B6">
        <w:t xml:space="preserve">. The harvested ash will be processed for beneficial use through particle size screening and drying to remove excess moisture. </w:t>
      </w:r>
      <w:r w:rsidR="00160D5A" w:rsidRPr="00120C76">
        <w:t xml:space="preserve">In </w:t>
      </w:r>
      <w:r w:rsidR="00160D5A">
        <w:t>May</w:t>
      </w:r>
      <w:r w:rsidR="00160D5A" w:rsidRPr="00120C76">
        <w:t xml:space="preserve"> 2023, Georgia Power </w:t>
      </w:r>
      <w:r w:rsidR="00160D5A">
        <w:t>finalized an agreement for</w:t>
      </w:r>
      <w:r w:rsidR="00160D5A" w:rsidRPr="00120C76">
        <w:t xml:space="preserve"> </w:t>
      </w:r>
      <w:r w:rsidR="00275456">
        <w:t>the</w:t>
      </w:r>
      <w:r w:rsidR="00160D5A" w:rsidRPr="00120C76">
        <w:t xml:space="preserve"> beneficial use project at Plant Branch</w:t>
      </w:r>
      <w:r w:rsidR="00D81D3A">
        <w:t>,</w:t>
      </w:r>
      <w:r w:rsidR="00160D5A" w:rsidRPr="00120C76">
        <w:t xml:space="preserve"> where </w:t>
      </w:r>
      <w:r w:rsidR="00D81D3A">
        <w:t xml:space="preserve">investments are being made to excavate </w:t>
      </w:r>
      <w:r w:rsidR="00A275AE">
        <w:t xml:space="preserve">up to eight </w:t>
      </w:r>
      <w:r w:rsidR="00160D5A" w:rsidRPr="00120C76">
        <w:t>million tons of coal ash for use in concrete.</w:t>
      </w:r>
      <w:r w:rsidR="00160D5A">
        <w:t xml:space="preserve"> </w:t>
      </w:r>
      <w:r w:rsidR="00E66C53">
        <w:t>T</w:t>
      </w:r>
      <w:r w:rsidR="00160D5A">
        <w:t xml:space="preserve">he harvested ash will be processed </w:t>
      </w:r>
      <w:r w:rsidR="00160D5A">
        <w:lastRenderedPageBreak/>
        <w:t>through particle screening, drying, and thermal beneficiation</w:t>
      </w:r>
      <w:r w:rsidR="00E66C53">
        <w:t xml:space="preserve">, which </w:t>
      </w:r>
      <w:r w:rsidR="00160D5A">
        <w:t xml:space="preserve">creates a more marketable ash product by using heat to reduce the remaining carbon in the CCR material.  </w:t>
      </w:r>
    </w:p>
    <w:p w14:paraId="016D52C9" w14:textId="3C7877E8" w:rsidR="00E573D9" w:rsidRPr="007F2A3D" w:rsidRDefault="00B45C0C" w:rsidP="00F652A7">
      <w:pPr>
        <w:spacing w:before="120" w:after="0" w:line="240" w:lineRule="auto"/>
      </w:pPr>
      <w:bookmarkStart w:id="45" w:name="_Hlk94110936"/>
      <w:r>
        <w:t>After</w:t>
      </w:r>
      <w:r w:rsidR="00F652A7">
        <w:t xml:space="preserve"> the issuance of th</w:t>
      </w:r>
      <w:r w:rsidR="008F5B10">
        <w:t>e</w:t>
      </w:r>
      <w:r w:rsidR="00F652A7">
        <w:t xml:space="preserve"> second contract</w:t>
      </w:r>
      <w:r w:rsidR="008F5B10">
        <w:t xml:space="preserve"> for Plant Branch</w:t>
      </w:r>
      <w:r w:rsidR="00F652A7">
        <w:t>, the Company completed its Beneficial Use RFP process. In accordance with the 2022 IRP Final Order (Docket No. 44160), in September 2023, the Company provided a report to the Commission on the results of the RFP</w:t>
      </w:r>
      <w:bookmarkEnd w:id="45"/>
      <w:r w:rsidR="00E82328" w:rsidRPr="00E82328">
        <w:t>.</w:t>
      </w:r>
      <w:r w:rsidR="00E573D9">
        <w:t xml:space="preserve"> The CCR ARO compliance program is long</w:t>
      </w:r>
      <w:r w:rsidR="0036129B">
        <w:t>-</w:t>
      </w:r>
      <w:r w:rsidR="00E573D9">
        <w:t xml:space="preserve">term in nature with the possibility for changing market conditions, technology advancements, and many other factors over the coming decades. </w:t>
      </w:r>
      <w:r w:rsidR="00E573D9" w:rsidRPr="00262ADB">
        <w:rPr>
          <w:rFonts w:cs="Arial"/>
          <w:lang w:val="en"/>
        </w:rPr>
        <w:t xml:space="preserve">The Company will continue to </w:t>
      </w:r>
      <w:r w:rsidR="00E573D9">
        <w:rPr>
          <w:rFonts w:cs="Arial"/>
          <w:lang w:val="en"/>
        </w:rPr>
        <w:t xml:space="preserve">monitor progress with its current beneficial use plans, </w:t>
      </w:r>
      <w:r w:rsidR="00E573D9" w:rsidRPr="00262ADB">
        <w:rPr>
          <w:rFonts w:cs="Arial"/>
          <w:lang w:val="en"/>
        </w:rPr>
        <w:t xml:space="preserve">consider </w:t>
      </w:r>
      <w:r w:rsidR="00E573D9">
        <w:rPr>
          <w:rFonts w:cs="Arial"/>
          <w:lang w:val="en"/>
        </w:rPr>
        <w:t xml:space="preserve">additional </w:t>
      </w:r>
      <w:r w:rsidR="00E573D9" w:rsidRPr="00262ADB">
        <w:rPr>
          <w:rFonts w:cs="Arial"/>
          <w:lang w:val="en"/>
        </w:rPr>
        <w:t xml:space="preserve">beneficial use opportunities </w:t>
      </w:r>
      <w:r w:rsidR="00E573D9">
        <w:rPr>
          <w:rFonts w:cs="Arial"/>
          <w:lang w:val="en"/>
        </w:rPr>
        <w:t xml:space="preserve">as </w:t>
      </w:r>
      <w:r w:rsidR="00E573D9" w:rsidRPr="00262ADB">
        <w:rPr>
          <w:rFonts w:cs="Arial"/>
          <w:lang w:val="en"/>
        </w:rPr>
        <w:t>appropriat</w:t>
      </w:r>
      <w:r w:rsidR="00E573D9" w:rsidRPr="06EC554D">
        <w:rPr>
          <w:rFonts w:cs="Arial"/>
          <w:lang w:val="en"/>
        </w:rPr>
        <w:t>e</w:t>
      </w:r>
      <w:r w:rsidR="00E573D9" w:rsidRPr="00AA38F0">
        <w:rPr>
          <w:rFonts w:cs="Arial"/>
          <w:lang w:val="en"/>
        </w:rPr>
        <w:t xml:space="preserve"> </w:t>
      </w:r>
      <w:r w:rsidR="00E573D9">
        <w:rPr>
          <w:rFonts w:cs="Arial"/>
          <w:lang w:val="en"/>
        </w:rPr>
        <w:t>in</w:t>
      </w:r>
      <w:r w:rsidR="00E573D9" w:rsidRPr="00AA38F0">
        <w:rPr>
          <w:rFonts w:cs="Arial"/>
          <w:lang w:val="en"/>
        </w:rPr>
        <w:t xml:space="preserve"> the </w:t>
      </w:r>
      <w:r w:rsidR="00E573D9">
        <w:rPr>
          <w:rFonts w:cs="Arial"/>
          <w:lang w:val="en"/>
        </w:rPr>
        <w:t>future</w:t>
      </w:r>
      <w:r w:rsidR="00A22087">
        <w:rPr>
          <w:rFonts w:cs="Arial"/>
          <w:lang w:val="en"/>
        </w:rPr>
        <w:t xml:space="preserve">, and will evaluate future revisions to the CCR rules </w:t>
      </w:r>
      <w:r w:rsidR="0059417D">
        <w:rPr>
          <w:rFonts w:cs="Arial"/>
          <w:lang w:val="en"/>
        </w:rPr>
        <w:t xml:space="preserve">and CCR permit developments </w:t>
      </w:r>
      <w:r w:rsidR="00A22087">
        <w:rPr>
          <w:rFonts w:cs="Arial"/>
          <w:lang w:val="en"/>
        </w:rPr>
        <w:t>for any impacts to beneficial use projects</w:t>
      </w:r>
      <w:r w:rsidR="00E573D9">
        <w:rPr>
          <w:rFonts w:cs="Arial"/>
          <w:lang w:val="en"/>
        </w:rPr>
        <w:t>.</w:t>
      </w:r>
      <w:r w:rsidR="00A22087">
        <w:rPr>
          <w:rFonts w:cs="Arial"/>
          <w:lang w:val="en"/>
        </w:rPr>
        <w:t xml:space="preserve"> </w:t>
      </w:r>
    </w:p>
    <w:p w14:paraId="48716519" w14:textId="3C031EDE" w:rsidR="00CA448C" w:rsidRPr="004F0C64" w:rsidRDefault="00CA448C" w:rsidP="00CA448C">
      <w:pPr>
        <w:pStyle w:val="Heading1"/>
        <w:spacing w:before="120" w:after="0"/>
        <w:rPr>
          <w:b/>
          <w:bCs/>
        </w:rPr>
      </w:pPr>
      <w:bookmarkStart w:id="46" w:name="_Toc130201006"/>
      <w:bookmarkStart w:id="47" w:name="_Toc117253473"/>
      <w:r w:rsidRPr="004F0C64">
        <w:rPr>
          <w:b/>
          <w:bCs/>
          <w:sz w:val="32"/>
          <w:szCs w:val="32"/>
        </w:rPr>
        <w:t>2.</w:t>
      </w:r>
      <w:r w:rsidR="00C92C1D">
        <w:rPr>
          <w:b/>
          <w:bCs/>
          <w:sz w:val="32"/>
          <w:szCs w:val="32"/>
        </w:rPr>
        <w:t>3</w:t>
      </w:r>
      <w:r w:rsidRPr="004F0C64">
        <w:rPr>
          <w:b/>
          <w:bCs/>
          <w:sz w:val="32"/>
          <w:szCs w:val="32"/>
        </w:rPr>
        <w:t xml:space="preserve"> Air Regulatory and Strategy Updates</w:t>
      </w:r>
      <w:bookmarkEnd w:id="46"/>
    </w:p>
    <w:p w14:paraId="41403C22" w14:textId="5CC78581" w:rsidR="00CA448C" w:rsidRDefault="00CA448C" w:rsidP="006F1F0B">
      <w:pPr>
        <w:jc w:val="left"/>
      </w:pPr>
      <w:r w:rsidRPr="00DB7156">
        <w:t xml:space="preserve">The </w:t>
      </w:r>
      <w:r>
        <w:t>air</w:t>
      </w:r>
      <w:r w:rsidRPr="00DB7156">
        <w:t xml:space="preserve"> compliance strategy considers a variety of regulations related to </w:t>
      </w:r>
      <w:r>
        <w:t>air</w:t>
      </w:r>
      <w:r w:rsidRPr="00DB7156">
        <w:t xml:space="preserve"> quality and </w:t>
      </w:r>
      <w:r>
        <w:t>emissions, including</w:t>
      </w:r>
      <w:r w:rsidRPr="00DB7156">
        <w:t xml:space="preserve"> both </w:t>
      </w:r>
      <w:r w:rsidR="00935048">
        <w:t>federal</w:t>
      </w:r>
      <w:r>
        <w:t xml:space="preserve"> and</w:t>
      </w:r>
      <w:r w:rsidR="00935048">
        <w:t xml:space="preserve"> state </w:t>
      </w:r>
      <w:r w:rsidRPr="00DB7156">
        <w:t>requirements.</w:t>
      </w:r>
      <w:r>
        <w:t xml:space="preserve"> Based on the information currently available, t</w:t>
      </w:r>
      <w:r w:rsidRPr="00DB7156">
        <w:t xml:space="preserve">he </w:t>
      </w:r>
      <w:r>
        <w:t>strategy to meet air compliance requirements is summarized in</w:t>
      </w:r>
      <w:r w:rsidR="00AF3FFA">
        <w:t xml:space="preserve"> </w:t>
      </w:r>
      <w:r w:rsidR="00AF3FFA" w:rsidRPr="00AF3FFA">
        <w:rPr>
          <w:b/>
          <w:bCs/>
        </w:rPr>
        <w:t>Table 6</w:t>
      </w:r>
      <w:r w:rsidR="00AF3FFA">
        <w:t xml:space="preserve">. </w:t>
      </w:r>
      <w:r>
        <w:t>The areas of legislation, regulation, permitting, or other actions that set</w:t>
      </w:r>
      <w:r w:rsidR="005353E5">
        <w:t>,</w:t>
      </w:r>
      <w:r>
        <w:t xml:space="preserve"> or are anticipated to set</w:t>
      </w:r>
      <w:r w:rsidR="005353E5">
        <w:t>,</w:t>
      </w:r>
      <w:r>
        <w:t xml:space="preserve"> critical air compliance requirements are </w:t>
      </w:r>
      <w:r w:rsidRPr="00DB7156">
        <w:t xml:space="preserve">discussed below. </w:t>
      </w:r>
    </w:p>
    <w:p w14:paraId="584FCC33" w14:textId="201170B5" w:rsidR="00CA448C" w:rsidRPr="00DC67D6" w:rsidRDefault="00CA448C" w:rsidP="00167113">
      <w:pPr>
        <w:jc w:val="left"/>
        <w:rPr>
          <w:rFonts w:cs="Arial"/>
          <w:b/>
          <w:bCs/>
          <w:sz w:val="20"/>
        </w:rPr>
      </w:pPr>
      <w:bookmarkStart w:id="48" w:name="_Ref129869996"/>
      <w:bookmarkStart w:id="49" w:name="_Ref130528693"/>
      <w:r w:rsidRPr="00DC67D6">
        <w:rPr>
          <w:rFonts w:cs="Arial"/>
          <w:b/>
          <w:bCs/>
          <w:sz w:val="20"/>
        </w:rPr>
        <w:t xml:space="preserve">Table </w:t>
      </w:r>
      <w:r w:rsidR="00AF3FFA">
        <w:rPr>
          <w:rFonts w:cs="Arial"/>
          <w:b/>
          <w:bCs/>
          <w:sz w:val="20"/>
        </w:rPr>
        <w:t>6</w:t>
      </w:r>
      <w:bookmarkEnd w:id="48"/>
      <w:bookmarkEnd w:id="49"/>
      <w:r w:rsidR="006B35E6">
        <w:rPr>
          <w:rFonts w:cs="Arial"/>
          <w:b/>
          <w:color w:val="171717" w:themeColor="background2" w:themeShade="1A"/>
          <w:sz w:val="20"/>
          <w:szCs w:val="20"/>
        </w:rPr>
        <w:t>.</w:t>
      </w:r>
      <w:r w:rsidRPr="00DC67D6">
        <w:rPr>
          <w:rFonts w:cs="Arial"/>
          <w:b/>
          <w:bCs/>
          <w:sz w:val="20"/>
        </w:rPr>
        <w:t xml:space="preserve"> Emissions Control Equipment at Coal</w:t>
      </w:r>
      <w:r w:rsidR="00B357A3">
        <w:rPr>
          <w:rFonts w:cs="Arial"/>
          <w:b/>
          <w:bCs/>
          <w:sz w:val="20"/>
        </w:rPr>
        <w:t>,</w:t>
      </w:r>
      <w:r w:rsidRPr="00DC67D6">
        <w:rPr>
          <w:rFonts w:cs="Arial"/>
          <w:b/>
          <w:bCs/>
          <w:sz w:val="20"/>
        </w:rPr>
        <w:t xml:space="preserve"> Natural Gas Combined-Cycle</w:t>
      </w:r>
      <w:r w:rsidR="00B357A3">
        <w:rPr>
          <w:rFonts w:cs="Arial"/>
          <w:b/>
          <w:bCs/>
          <w:sz w:val="20"/>
        </w:rPr>
        <w:t>, and New Combustion Turbine</w:t>
      </w:r>
      <w:r w:rsidRPr="00DC67D6">
        <w:rPr>
          <w:rFonts w:cs="Arial"/>
          <w:b/>
          <w:bCs/>
          <w:sz w:val="20"/>
        </w:rPr>
        <w:t xml:space="preserve"> Units</w:t>
      </w:r>
    </w:p>
    <w:tbl>
      <w:tblPr>
        <w:tblW w:w="9340" w:type="dxa"/>
        <w:tblBorders>
          <w:top w:val="single" w:sz="8" w:space="0" w:color="AEAAAA" w:themeColor="background2" w:themeShade="BF"/>
          <w:left w:val="single" w:sz="8" w:space="0" w:color="AEAAAA" w:themeColor="background2" w:themeShade="BF"/>
          <w:bottom w:val="single" w:sz="8" w:space="0" w:color="AEAAAA" w:themeColor="background2" w:themeShade="BF"/>
          <w:right w:val="single" w:sz="8" w:space="0" w:color="AEAAAA" w:themeColor="background2" w:themeShade="BF"/>
          <w:insideH w:val="single" w:sz="8" w:space="0" w:color="AEAAAA" w:themeColor="background2" w:themeShade="BF"/>
          <w:insideV w:val="single" w:sz="8" w:space="0" w:color="AEAAAA" w:themeColor="background2" w:themeShade="BF"/>
        </w:tblBorders>
        <w:tblLook w:val="04A0" w:firstRow="1" w:lastRow="0" w:firstColumn="1" w:lastColumn="0" w:noHBand="0" w:noVBand="1"/>
      </w:tblPr>
      <w:tblGrid>
        <w:gridCol w:w="1712"/>
        <w:gridCol w:w="1208"/>
        <w:gridCol w:w="1030"/>
        <w:gridCol w:w="1260"/>
        <w:gridCol w:w="1467"/>
        <w:gridCol w:w="1238"/>
        <w:gridCol w:w="1425"/>
      </w:tblGrid>
      <w:tr w:rsidR="003A381E" w:rsidRPr="00254F7E" w14:paraId="21306CCE" w14:textId="77777777" w:rsidTr="00001A14">
        <w:trPr>
          <w:cantSplit/>
          <w:trHeight w:val="448"/>
        </w:trPr>
        <w:tc>
          <w:tcPr>
            <w:tcW w:w="1712" w:type="dxa"/>
            <w:shd w:val="clear" w:color="auto" w:fill="E7E6E6" w:themeFill="background2"/>
            <w:noWrap/>
            <w:vAlign w:val="center"/>
            <w:hideMark/>
          </w:tcPr>
          <w:p w14:paraId="0859B74B" w14:textId="77777777" w:rsidR="00CA448C" w:rsidRPr="00F06BA2" w:rsidRDefault="00CA448C" w:rsidP="0023573D">
            <w:pPr>
              <w:spacing w:after="0" w:line="240" w:lineRule="auto"/>
              <w:rPr>
                <w:rFonts w:eastAsia="Times New Roman" w:cs="Arial"/>
                <w:b/>
                <w:bCs/>
                <w:color w:val="000000"/>
                <w:sz w:val="20"/>
              </w:rPr>
            </w:pPr>
            <w:r w:rsidRPr="00F06BA2">
              <w:rPr>
                <w:rFonts w:eastAsia="Times New Roman" w:cs="Arial"/>
                <w:b/>
                <w:bCs/>
                <w:color w:val="000000"/>
                <w:sz w:val="20"/>
              </w:rPr>
              <w:t>Unit</w:t>
            </w:r>
          </w:p>
        </w:tc>
        <w:tc>
          <w:tcPr>
            <w:tcW w:w="1208" w:type="dxa"/>
            <w:shd w:val="clear" w:color="auto" w:fill="E7E6E6" w:themeFill="background2"/>
            <w:vAlign w:val="center"/>
            <w:hideMark/>
          </w:tcPr>
          <w:p w14:paraId="74D967E6" w14:textId="4F936BB9" w:rsidR="00CA448C" w:rsidRPr="00F06BA2" w:rsidRDefault="006E111A" w:rsidP="0023573D">
            <w:pPr>
              <w:spacing w:after="0" w:line="240" w:lineRule="auto"/>
              <w:rPr>
                <w:rFonts w:eastAsia="Times New Roman" w:cs="Arial"/>
                <w:b/>
                <w:bCs/>
                <w:color w:val="000000"/>
                <w:sz w:val="20"/>
              </w:rPr>
            </w:pPr>
            <w:r w:rsidRPr="00F06BA2">
              <w:rPr>
                <w:rFonts w:eastAsia="Times New Roman" w:cs="Arial"/>
                <w:b/>
                <w:bCs/>
                <w:color w:val="000000"/>
                <w:sz w:val="20"/>
              </w:rPr>
              <w:t>Primary Fuel</w:t>
            </w:r>
          </w:p>
        </w:tc>
        <w:tc>
          <w:tcPr>
            <w:tcW w:w="1030" w:type="dxa"/>
            <w:shd w:val="clear" w:color="auto" w:fill="E7E6E6" w:themeFill="background2"/>
            <w:vAlign w:val="center"/>
            <w:hideMark/>
          </w:tcPr>
          <w:p w14:paraId="5373D079" w14:textId="77777777" w:rsidR="00CA448C" w:rsidRPr="00F06BA2" w:rsidRDefault="00CA448C" w:rsidP="0023573D">
            <w:pPr>
              <w:spacing w:after="0" w:line="240" w:lineRule="auto"/>
              <w:rPr>
                <w:rFonts w:eastAsia="Times New Roman" w:cs="Arial"/>
                <w:b/>
                <w:bCs/>
                <w:color w:val="000000"/>
                <w:sz w:val="20"/>
              </w:rPr>
            </w:pPr>
            <w:r w:rsidRPr="00F06BA2">
              <w:rPr>
                <w:rFonts w:eastAsia="Times New Roman" w:cs="Arial"/>
                <w:b/>
                <w:bCs/>
                <w:color w:val="000000"/>
                <w:sz w:val="20"/>
              </w:rPr>
              <w:t>NOx Control</w:t>
            </w:r>
          </w:p>
        </w:tc>
        <w:tc>
          <w:tcPr>
            <w:tcW w:w="1260" w:type="dxa"/>
            <w:shd w:val="clear" w:color="auto" w:fill="E7E6E6" w:themeFill="background2"/>
            <w:vAlign w:val="center"/>
          </w:tcPr>
          <w:p w14:paraId="1D119DC8" w14:textId="586B1B15" w:rsidR="00CA448C" w:rsidRPr="00F06BA2" w:rsidRDefault="00CA448C" w:rsidP="0023573D">
            <w:pPr>
              <w:spacing w:after="0" w:line="240" w:lineRule="auto"/>
              <w:rPr>
                <w:rFonts w:eastAsia="Times New Roman" w:cs="Arial"/>
                <w:b/>
                <w:bCs/>
                <w:color w:val="000000"/>
                <w:sz w:val="20"/>
              </w:rPr>
            </w:pPr>
            <w:r w:rsidRPr="00F06BA2">
              <w:rPr>
                <w:rFonts w:eastAsia="Times New Roman" w:cs="Arial"/>
                <w:b/>
                <w:bCs/>
                <w:color w:val="000000"/>
                <w:sz w:val="20"/>
              </w:rPr>
              <w:t>SO</w:t>
            </w:r>
            <w:r w:rsidRPr="00F06BA2">
              <w:rPr>
                <w:rFonts w:eastAsia="Times New Roman" w:cs="Arial"/>
                <w:b/>
                <w:color w:val="000000"/>
                <w:sz w:val="20"/>
                <w:vertAlign w:val="subscript"/>
              </w:rPr>
              <w:t>2</w:t>
            </w:r>
            <w:r w:rsidRPr="00F06BA2">
              <w:rPr>
                <w:rFonts w:eastAsia="Times New Roman" w:cs="Arial"/>
                <w:b/>
                <w:bCs/>
                <w:color w:val="000000"/>
                <w:sz w:val="20"/>
              </w:rPr>
              <w:t>/Acid Gas Control</w:t>
            </w:r>
          </w:p>
        </w:tc>
        <w:tc>
          <w:tcPr>
            <w:tcW w:w="1467" w:type="dxa"/>
            <w:shd w:val="clear" w:color="auto" w:fill="E7E6E6" w:themeFill="background2"/>
            <w:vAlign w:val="center"/>
          </w:tcPr>
          <w:p w14:paraId="47DEC3BE" w14:textId="77777777" w:rsidR="00CA448C" w:rsidRPr="00F06BA2" w:rsidRDefault="00CA448C" w:rsidP="0023573D">
            <w:pPr>
              <w:spacing w:after="0" w:line="240" w:lineRule="auto"/>
              <w:rPr>
                <w:rFonts w:eastAsia="Times New Roman" w:cs="Arial"/>
                <w:b/>
                <w:bCs/>
                <w:color w:val="000000"/>
                <w:sz w:val="20"/>
              </w:rPr>
            </w:pPr>
            <w:r w:rsidRPr="00F06BA2">
              <w:rPr>
                <w:rFonts w:eastAsia="Times New Roman" w:cs="Arial"/>
                <w:b/>
                <w:bCs/>
                <w:color w:val="000000"/>
                <w:sz w:val="20"/>
              </w:rPr>
              <w:t>Mercury Control</w:t>
            </w:r>
          </w:p>
        </w:tc>
        <w:tc>
          <w:tcPr>
            <w:tcW w:w="1238" w:type="dxa"/>
            <w:shd w:val="clear" w:color="auto" w:fill="E7E6E6" w:themeFill="background2"/>
            <w:vAlign w:val="center"/>
            <w:hideMark/>
          </w:tcPr>
          <w:p w14:paraId="480831CE" w14:textId="713632E9" w:rsidR="00CA448C" w:rsidRPr="00F06BA2" w:rsidRDefault="0010398F" w:rsidP="0023573D">
            <w:pPr>
              <w:spacing w:after="0" w:line="240" w:lineRule="auto"/>
              <w:rPr>
                <w:rFonts w:eastAsia="Times New Roman" w:cs="Arial"/>
                <w:b/>
                <w:bCs/>
                <w:color w:val="000000"/>
                <w:sz w:val="20"/>
              </w:rPr>
            </w:pPr>
            <w:r w:rsidRPr="00F06BA2">
              <w:rPr>
                <w:rFonts w:eastAsia="Times New Roman" w:cs="Arial"/>
                <w:b/>
                <w:bCs/>
                <w:color w:val="000000"/>
                <w:sz w:val="20"/>
              </w:rPr>
              <w:t>PM</w:t>
            </w:r>
            <w:r w:rsidR="00CA448C" w:rsidRPr="00F06BA2">
              <w:rPr>
                <w:rFonts w:eastAsia="Times New Roman" w:cs="Arial"/>
                <w:b/>
                <w:bCs/>
                <w:color w:val="000000"/>
                <w:sz w:val="20"/>
              </w:rPr>
              <w:t xml:space="preserve"> Control</w:t>
            </w:r>
          </w:p>
        </w:tc>
        <w:tc>
          <w:tcPr>
            <w:tcW w:w="1425" w:type="dxa"/>
            <w:shd w:val="clear" w:color="auto" w:fill="E7E6E6" w:themeFill="background2"/>
            <w:vAlign w:val="center"/>
            <w:hideMark/>
          </w:tcPr>
          <w:p w14:paraId="7D6B873F" w14:textId="7506154C" w:rsidR="00CA448C" w:rsidRPr="00F06BA2" w:rsidRDefault="00CA448C" w:rsidP="0023573D">
            <w:pPr>
              <w:spacing w:after="0" w:line="240" w:lineRule="auto"/>
              <w:rPr>
                <w:rFonts w:eastAsia="Times New Roman" w:cs="Arial"/>
                <w:b/>
                <w:bCs/>
                <w:color w:val="000000"/>
                <w:sz w:val="20"/>
              </w:rPr>
            </w:pPr>
            <w:r w:rsidRPr="00F06BA2">
              <w:rPr>
                <w:rFonts w:eastAsia="Times New Roman" w:cs="Arial"/>
                <w:b/>
                <w:bCs/>
                <w:color w:val="000000"/>
                <w:sz w:val="20"/>
              </w:rPr>
              <w:t>CO/VOC Control</w:t>
            </w:r>
          </w:p>
        </w:tc>
      </w:tr>
      <w:tr w:rsidR="006E111A" w:rsidRPr="00254F7E" w14:paraId="0443C50F" w14:textId="77777777" w:rsidTr="00001A14">
        <w:trPr>
          <w:cantSplit/>
          <w:trHeight w:hRule="exact" w:val="576"/>
        </w:trPr>
        <w:tc>
          <w:tcPr>
            <w:tcW w:w="1712" w:type="dxa"/>
            <w:shd w:val="clear" w:color="auto" w:fill="auto"/>
            <w:noWrap/>
            <w:vAlign w:val="center"/>
            <w:hideMark/>
          </w:tcPr>
          <w:p w14:paraId="59CAEA7C"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Bowen 1 &amp; 2</w:t>
            </w:r>
          </w:p>
        </w:tc>
        <w:tc>
          <w:tcPr>
            <w:tcW w:w="1208" w:type="dxa"/>
            <w:shd w:val="clear" w:color="auto" w:fill="auto"/>
            <w:noWrap/>
            <w:vAlign w:val="center"/>
            <w:hideMark/>
          </w:tcPr>
          <w:p w14:paraId="5892741B" w14:textId="2BBC30BE" w:rsidR="00CA448C" w:rsidRPr="00433FF7" w:rsidRDefault="006E111A" w:rsidP="0023573D">
            <w:pPr>
              <w:spacing w:after="0" w:line="240" w:lineRule="auto"/>
              <w:jc w:val="left"/>
              <w:rPr>
                <w:rFonts w:eastAsia="Times New Roman" w:cs="Arial"/>
                <w:color w:val="000000"/>
                <w:sz w:val="20"/>
              </w:rPr>
            </w:pPr>
            <w:r w:rsidRPr="00433FF7">
              <w:rPr>
                <w:rFonts w:eastAsia="Times New Roman" w:cs="Arial"/>
                <w:color w:val="000000"/>
                <w:sz w:val="20"/>
              </w:rPr>
              <w:t>Coal</w:t>
            </w:r>
          </w:p>
        </w:tc>
        <w:tc>
          <w:tcPr>
            <w:tcW w:w="1030" w:type="dxa"/>
            <w:shd w:val="clear" w:color="auto" w:fill="auto"/>
            <w:noWrap/>
            <w:vAlign w:val="center"/>
            <w:hideMark/>
          </w:tcPr>
          <w:p w14:paraId="057D2094" w14:textId="160510B2" w:rsidR="00CA448C" w:rsidRPr="00433FF7" w:rsidRDefault="005F51F4" w:rsidP="0023573D">
            <w:pPr>
              <w:spacing w:after="0" w:line="240" w:lineRule="auto"/>
              <w:jc w:val="left"/>
              <w:rPr>
                <w:rFonts w:eastAsia="Times New Roman" w:cs="Arial"/>
                <w:color w:val="000000"/>
                <w:sz w:val="20"/>
              </w:rPr>
            </w:pPr>
            <w:r>
              <w:rPr>
                <w:rFonts w:eastAsia="Times New Roman" w:cs="Arial"/>
                <w:color w:val="000000"/>
                <w:sz w:val="20"/>
              </w:rPr>
              <w:t>LNCS</w:t>
            </w:r>
            <w:r w:rsidR="00CA448C" w:rsidRPr="00433FF7">
              <w:rPr>
                <w:rFonts w:eastAsia="Times New Roman" w:cs="Arial"/>
                <w:color w:val="000000"/>
                <w:sz w:val="20"/>
              </w:rPr>
              <w:t>/SCR</w:t>
            </w:r>
          </w:p>
        </w:tc>
        <w:tc>
          <w:tcPr>
            <w:tcW w:w="1260" w:type="dxa"/>
            <w:vAlign w:val="center"/>
          </w:tcPr>
          <w:p w14:paraId="2C578F68" w14:textId="6ED894ED" w:rsidR="00CA448C" w:rsidRPr="00433FF7" w:rsidRDefault="008E7BD4" w:rsidP="0023573D">
            <w:pPr>
              <w:spacing w:after="0" w:line="240" w:lineRule="auto"/>
              <w:jc w:val="left"/>
              <w:rPr>
                <w:rFonts w:eastAsia="Times New Roman" w:cs="Arial"/>
                <w:color w:val="000000"/>
                <w:sz w:val="20"/>
              </w:rPr>
            </w:pPr>
            <w:r>
              <w:rPr>
                <w:rFonts w:eastAsia="Times New Roman" w:cs="Arial"/>
                <w:color w:val="000000"/>
                <w:sz w:val="20"/>
              </w:rPr>
              <w:t>Scrubber</w:t>
            </w:r>
          </w:p>
        </w:tc>
        <w:tc>
          <w:tcPr>
            <w:tcW w:w="1467" w:type="dxa"/>
            <w:vAlign w:val="center"/>
          </w:tcPr>
          <w:p w14:paraId="362540C1" w14:textId="543913BF"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ACI/ALK/MRCS</w:t>
            </w:r>
            <w:r w:rsidR="00B11CF1" w:rsidRPr="00433FF7">
              <w:rPr>
                <w:rFonts w:eastAsia="Times New Roman" w:cs="Arial"/>
                <w:color w:val="000000"/>
                <w:sz w:val="20"/>
              </w:rPr>
              <w:t xml:space="preserve"> </w:t>
            </w:r>
            <w:r w:rsidRPr="00433FF7">
              <w:rPr>
                <w:rFonts w:eastAsia="Times New Roman" w:cs="Arial"/>
                <w:color w:val="000000"/>
                <w:sz w:val="20"/>
              </w:rPr>
              <w:t>FGD/SCR</w:t>
            </w:r>
          </w:p>
        </w:tc>
        <w:tc>
          <w:tcPr>
            <w:tcW w:w="1238" w:type="dxa"/>
            <w:shd w:val="clear" w:color="auto" w:fill="auto"/>
            <w:noWrap/>
            <w:vAlign w:val="center"/>
            <w:hideMark/>
          </w:tcPr>
          <w:p w14:paraId="4E31F9E3" w14:textId="1967F20E"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ESP/FGD</w:t>
            </w:r>
          </w:p>
        </w:tc>
        <w:tc>
          <w:tcPr>
            <w:tcW w:w="1425" w:type="dxa"/>
            <w:shd w:val="clear" w:color="auto" w:fill="auto"/>
            <w:noWrap/>
            <w:vAlign w:val="center"/>
            <w:hideMark/>
          </w:tcPr>
          <w:p w14:paraId="6E4C6822"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r>
      <w:tr w:rsidR="006E111A" w:rsidRPr="00254F7E" w14:paraId="38635DED" w14:textId="77777777" w:rsidTr="00001A14">
        <w:trPr>
          <w:cantSplit/>
          <w:trHeight w:hRule="exact" w:val="576"/>
        </w:trPr>
        <w:tc>
          <w:tcPr>
            <w:tcW w:w="1712" w:type="dxa"/>
            <w:shd w:val="clear" w:color="auto" w:fill="auto"/>
            <w:noWrap/>
            <w:vAlign w:val="center"/>
            <w:hideMark/>
          </w:tcPr>
          <w:p w14:paraId="36EB88B9"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Bowen 3 &amp; 4</w:t>
            </w:r>
          </w:p>
        </w:tc>
        <w:tc>
          <w:tcPr>
            <w:tcW w:w="1208" w:type="dxa"/>
            <w:shd w:val="clear" w:color="auto" w:fill="auto"/>
            <w:noWrap/>
            <w:vAlign w:val="center"/>
            <w:hideMark/>
          </w:tcPr>
          <w:p w14:paraId="04E8E47F" w14:textId="3D8D63BB" w:rsidR="00CA448C" w:rsidRPr="00433FF7" w:rsidRDefault="006E111A" w:rsidP="0023573D">
            <w:pPr>
              <w:spacing w:after="0" w:line="240" w:lineRule="auto"/>
              <w:jc w:val="left"/>
              <w:rPr>
                <w:rFonts w:eastAsia="Times New Roman" w:cs="Arial"/>
                <w:color w:val="000000"/>
                <w:sz w:val="20"/>
              </w:rPr>
            </w:pPr>
            <w:r w:rsidRPr="00433FF7">
              <w:rPr>
                <w:rFonts w:eastAsia="Times New Roman" w:cs="Arial"/>
                <w:color w:val="000000"/>
                <w:sz w:val="20"/>
              </w:rPr>
              <w:t>Coal</w:t>
            </w:r>
          </w:p>
        </w:tc>
        <w:tc>
          <w:tcPr>
            <w:tcW w:w="1030" w:type="dxa"/>
            <w:shd w:val="clear" w:color="auto" w:fill="auto"/>
            <w:noWrap/>
            <w:vAlign w:val="center"/>
            <w:hideMark/>
          </w:tcPr>
          <w:p w14:paraId="759293F5" w14:textId="4AA86160" w:rsidR="00CA448C" w:rsidRPr="00433FF7" w:rsidRDefault="005F51F4" w:rsidP="0023573D">
            <w:pPr>
              <w:spacing w:after="0" w:line="240" w:lineRule="auto"/>
              <w:jc w:val="left"/>
              <w:rPr>
                <w:rFonts w:eastAsia="Times New Roman" w:cs="Arial"/>
                <w:color w:val="000000"/>
                <w:sz w:val="20"/>
              </w:rPr>
            </w:pPr>
            <w:r>
              <w:rPr>
                <w:rFonts w:eastAsia="Times New Roman" w:cs="Arial"/>
                <w:color w:val="000000"/>
                <w:sz w:val="20"/>
              </w:rPr>
              <w:t>LNCS</w:t>
            </w:r>
            <w:r w:rsidR="00CA448C" w:rsidRPr="00433FF7">
              <w:rPr>
                <w:rFonts w:eastAsia="Times New Roman" w:cs="Arial"/>
                <w:color w:val="000000"/>
                <w:sz w:val="20"/>
              </w:rPr>
              <w:t>/SCR</w:t>
            </w:r>
          </w:p>
        </w:tc>
        <w:tc>
          <w:tcPr>
            <w:tcW w:w="1260" w:type="dxa"/>
            <w:vAlign w:val="center"/>
          </w:tcPr>
          <w:p w14:paraId="13430436" w14:textId="2D685BD6" w:rsidR="00CA448C" w:rsidRPr="00433FF7" w:rsidRDefault="008E7BD4" w:rsidP="0023573D">
            <w:pPr>
              <w:spacing w:after="0" w:line="240" w:lineRule="auto"/>
              <w:jc w:val="left"/>
              <w:rPr>
                <w:rFonts w:eastAsia="Times New Roman" w:cs="Arial"/>
                <w:color w:val="000000"/>
                <w:sz w:val="20"/>
              </w:rPr>
            </w:pPr>
            <w:r>
              <w:rPr>
                <w:rFonts w:eastAsia="Times New Roman" w:cs="Arial"/>
                <w:color w:val="000000"/>
                <w:sz w:val="20"/>
              </w:rPr>
              <w:t>Scrubber</w:t>
            </w:r>
          </w:p>
        </w:tc>
        <w:tc>
          <w:tcPr>
            <w:tcW w:w="1467" w:type="dxa"/>
            <w:vAlign w:val="center"/>
          </w:tcPr>
          <w:p w14:paraId="0D0535CE" w14:textId="26576F24"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ACI/ALK/BH FGD/SCR</w:t>
            </w:r>
          </w:p>
        </w:tc>
        <w:tc>
          <w:tcPr>
            <w:tcW w:w="1238" w:type="dxa"/>
            <w:shd w:val="clear" w:color="auto" w:fill="auto"/>
            <w:noWrap/>
            <w:vAlign w:val="center"/>
            <w:hideMark/>
          </w:tcPr>
          <w:p w14:paraId="1BEDDD6E" w14:textId="3B005769"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ESP/B</w:t>
            </w:r>
            <w:r w:rsidR="00BF3766" w:rsidRPr="00433FF7">
              <w:rPr>
                <w:rFonts w:eastAsia="Times New Roman" w:cs="Arial"/>
                <w:color w:val="000000"/>
                <w:sz w:val="20"/>
              </w:rPr>
              <w:t>H</w:t>
            </w:r>
            <w:r w:rsidRPr="00433FF7">
              <w:rPr>
                <w:rFonts w:eastAsia="Times New Roman" w:cs="Arial"/>
                <w:color w:val="000000"/>
                <w:sz w:val="20"/>
              </w:rPr>
              <w:t>/FGD</w:t>
            </w:r>
          </w:p>
        </w:tc>
        <w:tc>
          <w:tcPr>
            <w:tcW w:w="1425" w:type="dxa"/>
            <w:shd w:val="clear" w:color="auto" w:fill="auto"/>
            <w:noWrap/>
            <w:vAlign w:val="center"/>
            <w:hideMark/>
          </w:tcPr>
          <w:p w14:paraId="0F548447"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r>
      <w:tr w:rsidR="006E111A" w:rsidRPr="00254F7E" w14:paraId="6457D67A" w14:textId="77777777" w:rsidTr="00001A14">
        <w:trPr>
          <w:cantSplit/>
          <w:trHeight w:hRule="exact" w:val="360"/>
        </w:trPr>
        <w:tc>
          <w:tcPr>
            <w:tcW w:w="1712" w:type="dxa"/>
            <w:shd w:val="clear" w:color="auto" w:fill="auto"/>
            <w:noWrap/>
            <w:vAlign w:val="center"/>
            <w:hideMark/>
          </w:tcPr>
          <w:p w14:paraId="57172789" w14:textId="4C6957A6"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 xml:space="preserve">Gaston 1 </w:t>
            </w:r>
            <w:r w:rsidR="005C0A86">
              <w:rPr>
                <w:rFonts w:eastAsia="Times New Roman" w:cs="Arial"/>
                <w:color w:val="000000"/>
                <w:sz w:val="20"/>
              </w:rPr>
              <w:t>–</w:t>
            </w:r>
            <w:r w:rsidRPr="00433FF7">
              <w:rPr>
                <w:rFonts w:eastAsia="Times New Roman" w:cs="Arial"/>
                <w:color w:val="000000"/>
                <w:sz w:val="20"/>
              </w:rPr>
              <w:t xml:space="preserve"> 4</w:t>
            </w:r>
          </w:p>
        </w:tc>
        <w:tc>
          <w:tcPr>
            <w:tcW w:w="1208" w:type="dxa"/>
            <w:shd w:val="clear" w:color="auto" w:fill="auto"/>
            <w:noWrap/>
            <w:vAlign w:val="center"/>
            <w:hideMark/>
          </w:tcPr>
          <w:p w14:paraId="2E5495D3" w14:textId="338FE213" w:rsidR="00CA448C" w:rsidRPr="00433FF7" w:rsidRDefault="006E111A" w:rsidP="0023573D">
            <w:pPr>
              <w:spacing w:after="0" w:line="240" w:lineRule="auto"/>
              <w:jc w:val="left"/>
              <w:rPr>
                <w:rFonts w:eastAsia="Times New Roman" w:cs="Arial"/>
                <w:color w:val="000000"/>
                <w:sz w:val="20"/>
              </w:rPr>
            </w:pPr>
            <w:r w:rsidRPr="00433FF7">
              <w:rPr>
                <w:rFonts w:eastAsia="Times New Roman" w:cs="Arial"/>
                <w:color w:val="000000"/>
                <w:sz w:val="20"/>
              </w:rPr>
              <w:t>Natural Gas</w:t>
            </w:r>
          </w:p>
        </w:tc>
        <w:tc>
          <w:tcPr>
            <w:tcW w:w="1030" w:type="dxa"/>
            <w:shd w:val="clear" w:color="auto" w:fill="auto"/>
            <w:noWrap/>
            <w:vAlign w:val="center"/>
            <w:hideMark/>
          </w:tcPr>
          <w:p w14:paraId="7E049E6F" w14:textId="73EEEF66" w:rsidR="00CA448C" w:rsidRPr="00433FF7" w:rsidRDefault="005F51F4" w:rsidP="0023573D">
            <w:pPr>
              <w:spacing w:after="0" w:line="240" w:lineRule="auto"/>
              <w:jc w:val="left"/>
              <w:rPr>
                <w:rFonts w:eastAsia="Times New Roman" w:cs="Arial"/>
                <w:color w:val="000000"/>
                <w:sz w:val="20"/>
              </w:rPr>
            </w:pPr>
            <w:r>
              <w:rPr>
                <w:rFonts w:eastAsia="Times New Roman" w:cs="Arial"/>
                <w:color w:val="000000"/>
                <w:sz w:val="20"/>
              </w:rPr>
              <w:t>LNCS</w:t>
            </w:r>
          </w:p>
        </w:tc>
        <w:tc>
          <w:tcPr>
            <w:tcW w:w="1260" w:type="dxa"/>
            <w:vAlign w:val="center"/>
          </w:tcPr>
          <w:p w14:paraId="123EFFEA"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467" w:type="dxa"/>
            <w:vAlign w:val="center"/>
          </w:tcPr>
          <w:p w14:paraId="15EC6397"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238" w:type="dxa"/>
            <w:shd w:val="clear" w:color="auto" w:fill="auto"/>
            <w:noWrap/>
            <w:vAlign w:val="center"/>
            <w:hideMark/>
          </w:tcPr>
          <w:p w14:paraId="28B55872"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425" w:type="dxa"/>
            <w:shd w:val="clear" w:color="auto" w:fill="auto"/>
            <w:noWrap/>
            <w:vAlign w:val="center"/>
            <w:hideMark/>
          </w:tcPr>
          <w:p w14:paraId="500ED6EB"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r>
      <w:tr w:rsidR="006E111A" w:rsidRPr="00254F7E" w14:paraId="5D5921AA" w14:textId="77777777" w:rsidTr="00001A14">
        <w:trPr>
          <w:cantSplit/>
          <w:trHeight w:hRule="exact" w:val="360"/>
        </w:trPr>
        <w:tc>
          <w:tcPr>
            <w:tcW w:w="1712" w:type="dxa"/>
            <w:shd w:val="clear" w:color="auto" w:fill="auto"/>
            <w:noWrap/>
            <w:vAlign w:val="center"/>
            <w:hideMark/>
          </w:tcPr>
          <w:p w14:paraId="18CBEFBF" w14:textId="25F095F8"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themeColor="text1"/>
                <w:sz w:val="20"/>
              </w:rPr>
              <w:t>McDonough 4</w:t>
            </w:r>
            <w:r w:rsidR="006853D3">
              <w:rPr>
                <w:rFonts w:eastAsia="Times New Roman" w:cs="Arial"/>
                <w:color w:val="000000" w:themeColor="text1"/>
                <w:sz w:val="20"/>
              </w:rPr>
              <w:t xml:space="preserve"> </w:t>
            </w:r>
            <w:r w:rsidR="005C0A86">
              <w:rPr>
                <w:rFonts w:eastAsia="Times New Roman" w:cs="Arial"/>
                <w:color w:val="000000" w:themeColor="text1"/>
                <w:sz w:val="20"/>
              </w:rPr>
              <w:t>–</w:t>
            </w:r>
            <w:r w:rsidR="006853D3">
              <w:rPr>
                <w:rFonts w:eastAsia="Times New Roman" w:cs="Arial"/>
                <w:color w:val="000000" w:themeColor="text1"/>
                <w:sz w:val="20"/>
              </w:rPr>
              <w:t xml:space="preserve"> 6</w:t>
            </w:r>
          </w:p>
        </w:tc>
        <w:tc>
          <w:tcPr>
            <w:tcW w:w="1208" w:type="dxa"/>
            <w:shd w:val="clear" w:color="auto" w:fill="auto"/>
            <w:noWrap/>
            <w:vAlign w:val="center"/>
            <w:hideMark/>
          </w:tcPr>
          <w:p w14:paraId="62B93BAA" w14:textId="62036CA3" w:rsidR="00CA448C" w:rsidRPr="00433FF7" w:rsidRDefault="006E111A" w:rsidP="0023573D">
            <w:pPr>
              <w:spacing w:after="0" w:line="240" w:lineRule="auto"/>
              <w:jc w:val="left"/>
              <w:rPr>
                <w:rFonts w:eastAsia="Times New Roman" w:cs="Arial"/>
                <w:color w:val="000000"/>
                <w:sz w:val="20"/>
              </w:rPr>
            </w:pPr>
            <w:r w:rsidRPr="00433FF7">
              <w:rPr>
                <w:rFonts w:eastAsia="Times New Roman" w:cs="Arial"/>
                <w:color w:val="000000"/>
                <w:sz w:val="20"/>
              </w:rPr>
              <w:t>Natural Gas</w:t>
            </w:r>
          </w:p>
        </w:tc>
        <w:tc>
          <w:tcPr>
            <w:tcW w:w="1030" w:type="dxa"/>
            <w:shd w:val="clear" w:color="auto" w:fill="auto"/>
            <w:noWrap/>
            <w:vAlign w:val="center"/>
            <w:hideMark/>
          </w:tcPr>
          <w:p w14:paraId="7732DB52" w14:textId="4B72D6E7" w:rsidR="00CA448C" w:rsidRPr="00433FF7" w:rsidRDefault="009D7B93" w:rsidP="0023573D">
            <w:pPr>
              <w:spacing w:after="0" w:line="240" w:lineRule="auto"/>
              <w:jc w:val="left"/>
              <w:rPr>
                <w:rFonts w:eastAsia="Times New Roman" w:cs="Arial"/>
                <w:color w:val="000000"/>
                <w:sz w:val="20"/>
              </w:rPr>
            </w:pPr>
            <w:r>
              <w:rPr>
                <w:rFonts w:eastAsia="Times New Roman" w:cs="Arial"/>
                <w:color w:val="000000"/>
                <w:sz w:val="20"/>
              </w:rPr>
              <w:t>LNCS</w:t>
            </w:r>
            <w:r w:rsidR="00CA448C" w:rsidRPr="00433FF7">
              <w:rPr>
                <w:rFonts w:eastAsia="Times New Roman" w:cs="Arial"/>
                <w:color w:val="000000"/>
                <w:sz w:val="20"/>
              </w:rPr>
              <w:t>/SCR</w:t>
            </w:r>
          </w:p>
        </w:tc>
        <w:tc>
          <w:tcPr>
            <w:tcW w:w="1260" w:type="dxa"/>
            <w:vAlign w:val="center"/>
          </w:tcPr>
          <w:p w14:paraId="7514CE93"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467" w:type="dxa"/>
            <w:vAlign w:val="center"/>
          </w:tcPr>
          <w:p w14:paraId="3A45CBEC"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238" w:type="dxa"/>
            <w:shd w:val="clear" w:color="auto" w:fill="auto"/>
            <w:noWrap/>
            <w:vAlign w:val="center"/>
            <w:hideMark/>
          </w:tcPr>
          <w:p w14:paraId="22ACF394"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425" w:type="dxa"/>
            <w:shd w:val="clear" w:color="auto" w:fill="auto"/>
            <w:noWrap/>
            <w:vAlign w:val="center"/>
            <w:hideMark/>
          </w:tcPr>
          <w:p w14:paraId="60093C3F" w14:textId="18F903AF" w:rsidR="00CA448C" w:rsidRPr="00433FF7" w:rsidRDefault="007744D1" w:rsidP="0023573D">
            <w:pPr>
              <w:spacing w:after="0" w:line="240" w:lineRule="auto"/>
              <w:jc w:val="left"/>
              <w:rPr>
                <w:rFonts w:eastAsia="Times New Roman" w:cs="Arial"/>
                <w:color w:val="000000"/>
                <w:sz w:val="20"/>
              </w:rPr>
            </w:pPr>
            <w:r>
              <w:rPr>
                <w:rFonts w:eastAsia="Times New Roman" w:cs="Arial"/>
                <w:color w:val="000000"/>
                <w:sz w:val="20"/>
              </w:rPr>
              <w:t>OC</w:t>
            </w:r>
          </w:p>
        </w:tc>
      </w:tr>
      <w:tr w:rsidR="006E111A" w:rsidRPr="00254F7E" w14:paraId="1FE40DE3" w14:textId="77777777" w:rsidTr="00001A14">
        <w:trPr>
          <w:cantSplit/>
          <w:trHeight w:hRule="exact" w:val="360"/>
        </w:trPr>
        <w:tc>
          <w:tcPr>
            <w:tcW w:w="1712" w:type="dxa"/>
            <w:shd w:val="clear" w:color="auto" w:fill="auto"/>
            <w:noWrap/>
            <w:vAlign w:val="center"/>
            <w:hideMark/>
          </w:tcPr>
          <w:p w14:paraId="3F6D5C5C"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themeColor="text1"/>
                <w:sz w:val="20"/>
              </w:rPr>
              <w:t>McIntosh 10 &amp; 11</w:t>
            </w:r>
          </w:p>
        </w:tc>
        <w:tc>
          <w:tcPr>
            <w:tcW w:w="1208" w:type="dxa"/>
            <w:shd w:val="clear" w:color="auto" w:fill="auto"/>
            <w:noWrap/>
            <w:vAlign w:val="center"/>
            <w:hideMark/>
          </w:tcPr>
          <w:p w14:paraId="617D1AF3" w14:textId="6C1EA9B6" w:rsidR="00CA448C" w:rsidRPr="00433FF7" w:rsidRDefault="006E111A" w:rsidP="0023573D">
            <w:pPr>
              <w:spacing w:after="0" w:line="240" w:lineRule="auto"/>
              <w:jc w:val="left"/>
              <w:rPr>
                <w:rFonts w:eastAsia="Times New Roman" w:cs="Arial"/>
                <w:color w:val="000000"/>
                <w:sz w:val="20"/>
              </w:rPr>
            </w:pPr>
            <w:r w:rsidRPr="00433FF7">
              <w:rPr>
                <w:rFonts w:eastAsia="Times New Roman" w:cs="Arial"/>
                <w:color w:val="000000"/>
                <w:sz w:val="20"/>
              </w:rPr>
              <w:t>Natural Gas</w:t>
            </w:r>
          </w:p>
        </w:tc>
        <w:tc>
          <w:tcPr>
            <w:tcW w:w="1030" w:type="dxa"/>
            <w:shd w:val="clear" w:color="auto" w:fill="auto"/>
            <w:noWrap/>
            <w:vAlign w:val="center"/>
            <w:hideMark/>
          </w:tcPr>
          <w:p w14:paraId="177FBAD7" w14:textId="36D27E4C" w:rsidR="00CA448C" w:rsidRPr="00433FF7" w:rsidRDefault="009D7B93" w:rsidP="0023573D">
            <w:pPr>
              <w:spacing w:after="0" w:line="240" w:lineRule="auto"/>
              <w:jc w:val="left"/>
              <w:rPr>
                <w:rFonts w:eastAsia="Times New Roman" w:cs="Arial"/>
                <w:color w:val="000000"/>
                <w:sz w:val="20"/>
              </w:rPr>
            </w:pPr>
            <w:r>
              <w:rPr>
                <w:rFonts w:eastAsia="Times New Roman" w:cs="Arial"/>
                <w:color w:val="000000"/>
                <w:sz w:val="20"/>
              </w:rPr>
              <w:t>LNCS</w:t>
            </w:r>
            <w:r w:rsidR="00CA448C" w:rsidRPr="00433FF7">
              <w:rPr>
                <w:rFonts w:eastAsia="Times New Roman" w:cs="Arial"/>
                <w:color w:val="000000"/>
                <w:sz w:val="20"/>
              </w:rPr>
              <w:t>/SCR</w:t>
            </w:r>
          </w:p>
        </w:tc>
        <w:tc>
          <w:tcPr>
            <w:tcW w:w="1260" w:type="dxa"/>
            <w:vAlign w:val="center"/>
          </w:tcPr>
          <w:p w14:paraId="1A2F866D"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467" w:type="dxa"/>
            <w:vAlign w:val="center"/>
          </w:tcPr>
          <w:p w14:paraId="2C44BF8B"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238" w:type="dxa"/>
            <w:shd w:val="clear" w:color="auto" w:fill="auto"/>
            <w:noWrap/>
            <w:vAlign w:val="center"/>
            <w:hideMark/>
          </w:tcPr>
          <w:p w14:paraId="6474F6F5"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c>
          <w:tcPr>
            <w:tcW w:w="1425" w:type="dxa"/>
            <w:shd w:val="clear" w:color="auto" w:fill="auto"/>
            <w:noWrap/>
            <w:vAlign w:val="center"/>
            <w:hideMark/>
          </w:tcPr>
          <w:p w14:paraId="76330F6F" w14:textId="3589653E"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O</w:t>
            </w:r>
            <w:r w:rsidR="007744D1">
              <w:rPr>
                <w:rFonts w:eastAsia="Times New Roman" w:cs="Arial"/>
                <w:color w:val="000000"/>
                <w:sz w:val="20"/>
              </w:rPr>
              <w:t>C</w:t>
            </w:r>
          </w:p>
        </w:tc>
      </w:tr>
      <w:tr w:rsidR="00D1467A" w:rsidRPr="00254F7E" w14:paraId="59A153DF" w14:textId="77777777" w:rsidTr="00001A14">
        <w:trPr>
          <w:cantSplit/>
          <w:trHeight w:hRule="exact" w:val="362"/>
        </w:trPr>
        <w:tc>
          <w:tcPr>
            <w:tcW w:w="1712" w:type="dxa"/>
            <w:shd w:val="clear" w:color="auto" w:fill="auto"/>
            <w:noWrap/>
            <w:vAlign w:val="center"/>
            <w:hideMark/>
          </w:tcPr>
          <w:p w14:paraId="0AF57AFC" w14:textId="0D4CEA01"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 xml:space="preserve">Scherer 1 </w:t>
            </w:r>
            <w:r w:rsidR="005C0A86">
              <w:rPr>
                <w:rFonts w:eastAsia="Times New Roman" w:cs="Arial"/>
                <w:color w:val="000000"/>
                <w:sz w:val="20"/>
              </w:rPr>
              <w:t>–</w:t>
            </w:r>
            <w:r w:rsidRPr="00433FF7">
              <w:rPr>
                <w:rFonts w:eastAsia="Times New Roman" w:cs="Arial"/>
                <w:color w:val="000000"/>
                <w:sz w:val="20"/>
              </w:rPr>
              <w:t xml:space="preserve"> 3</w:t>
            </w:r>
          </w:p>
        </w:tc>
        <w:tc>
          <w:tcPr>
            <w:tcW w:w="1208" w:type="dxa"/>
            <w:shd w:val="clear" w:color="auto" w:fill="auto"/>
            <w:noWrap/>
            <w:vAlign w:val="center"/>
            <w:hideMark/>
          </w:tcPr>
          <w:p w14:paraId="067BCDE6" w14:textId="5B3BF52F" w:rsidR="00CA448C" w:rsidRPr="00433FF7" w:rsidRDefault="006E111A" w:rsidP="0023573D">
            <w:pPr>
              <w:spacing w:after="0" w:line="240" w:lineRule="auto"/>
              <w:jc w:val="left"/>
              <w:rPr>
                <w:rFonts w:eastAsia="Times New Roman" w:cs="Arial"/>
                <w:color w:val="000000"/>
                <w:sz w:val="20"/>
              </w:rPr>
            </w:pPr>
            <w:r w:rsidRPr="00433FF7">
              <w:rPr>
                <w:rFonts w:eastAsia="Times New Roman" w:cs="Arial"/>
                <w:color w:val="000000"/>
                <w:sz w:val="20"/>
              </w:rPr>
              <w:t>Coal</w:t>
            </w:r>
          </w:p>
        </w:tc>
        <w:tc>
          <w:tcPr>
            <w:tcW w:w="1030" w:type="dxa"/>
            <w:shd w:val="clear" w:color="auto" w:fill="auto"/>
            <w:noWrap/>
            <w:vAlign w:val="center"/>
            <w:hideMark/>
          </w:tcPr>
          <w:p w14:paraId="56969472" w14:textId="7C377322"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LNCS/SCR</w:t>
            </w:r>
          </w:p>
        </w:tc>
        <w:tc>
          <w:tcPr>
            <w:tcW w:w="1260" w:type="dxa"/>
            <w:vAlign w:val="center"/>
          </w:tcPr>
          <w:p w14:paraId="69C9B37A" w14:textId="2FE1F7C9" w:rsidR="00CA448C" w:rsidRPr="00433FF7" w:rsidRDefault="008E7BD4" w:rsidP="0023573D">
            <w:pPr>
              <w:spacing w:after="0" w:line="240" w:lineRule="auto"/>
              <w:jc w:val="left"/>
              <w:rPr>
                <w:rFonts w:eastAsia="Times New Roman" w:cs="Arial"/>
                <w:color w:val="000000"/>
                <w:sz w:val="20"/>
              </w:rPr>
            </w:pPr>
            <w:r>
              <w:rPr>
                <w:rFonts w:eastAsia="Times New Roman" w:cs="Arial"/>
                <w:color w:val="000000"/>
                <w:sz w:val="20"/>
              </w:rPr>
              <w:t>Scrubber</w:t>
            </w:r>
          </w:p>
        </w:tc>
        <w:tc>
          <w:tcPr>
            <w:tcW w:w="1467" w:type="dxa"/>
            <w:vAlign w:val="center"/>
          </w:tcPr>
          <w:p w14:paraId="79F735E5" w14:textId="635F0BA5"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BH/ACI</w:t>
            </w:r>
          </w:p>
        </w:tc>
        <w:tc>
          <w:tcPr>
            <w:tcW w:w="1238" w:type="dxa"/>
            <w:shd w:val="clear" w:color="auto" w:fill="auto"/>
            <w:noWrap/>
            <w:vAlign w:val="center"/>
            <w:hideMark/>
          </w:tcPr>
          <w:p w14:paraId="1BDB8595" w14:textId="3F4669E1"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ESP/BH/FGD</w:t>
            </w:r>
          </w:p>
        </w:tc>
        <w:tc>
          <w:tcPr>
            <w:tcW w:w="1425" w:type="dxa"/>
            <w:shd w:val="clear" w:color="auto" w:fill="auto"/>
            <w:noWrap/>
            <w:vAlign w:val="center"/>
            <w:hideMark/>
          </w:tcPr>
          <w:p w14:paraId="4FA0747A" w14:textId="77777777" w:rsidR="00CA448C" w:rsidRPr="00433FF7" w:rsidRDefault="00CA448C" w:rsidP="0023573D">
            <w:pPr>
              <w:spacing w:after="0" w:line="240" w:lineRule="auto"/>
              <w:jc w:val="left"/>
              <w:rPr>
                <w:rFonts w:eastAsia="Times New Roman" w:cs="Arial"/>
                <w:color w:val="000000"/>
                <w:sz w:val="20"/>
              </w:rPr>
            </w:pPr>
            <w:r w:rsidRPr="00433FF7">
              <w:rPr>
                <w:rFonts w:eastAsia="Times New Roman" w:cs="Arial"/>
                <w:color w:val="000000"/>
                <w:sz w:val="20"/>
              </w:rPr>
              <w:t>N/A</w:t>
            </w:r>
          </w:p>
        </w:tc>
      </w:tr>
      <w:tr w:rsidR="006E111A" w:rsidRPr="00254F7E" w14:paraId="2553C137" w14:textId="77777777" w:rsidTr="00001A14">
        <w:trPr>
          <w:cantSplit/>
          <w:trHeight w:hRule="exact" w:val="360"/>
        </w:trPr>
        <w:tc>
          <w:tcPr>
            <w:tcW w:w="1712" w:type="dxa"/>
            <w:shd w:val="clear" w:color="auto" w:fill="auto"/>
            <w:noWrap/>
            <w:vAlign w:val="center"/>
            <w:hideMark/>
          </w:tcPr>
          <w:p w14:paraId="1D1B6CE7" w14:textId="77777777" w:rsidR="00CA448C" w:rsidRPr="00433FF7" w:rsidRDefault="00CA448C" w:rsidP="0023573D">
            <w:pPr>
              <w:spacing w:after="0" w:line="240" w:lineRule="auto"/>
              <w:rPr>
                <w:rFonts w:eastAsia="Times New Roman" w:cs="Arial"/>
                <w:color w:val="000000"/>
                <w:sz w:val="20"/>
              </w:rPr>
            </w:pPr>
            <w:r w:rsidRPr="00433FF7">
              <w:rPr>
                <w:rFonts w:eastAsia="Times New Roman" w:cs="Arial"/>
                <w:color w:val="000000"/>
                <w:sz w:val="20"/>
              </w:rPr>
              <w:t>Yates 6 &amp; 7</w:t>
            </w:r>
          </w:p>
        </w:tc>
        <w:tc>
          <w:tcPr>
            <w:tcW w:w="1208" w:type="dxa"/>
            <w:shd w:val="clear" w:color="auto" w:fill="auto"/>
            <w:noWrap/>
            <w:vAlign w:val="center"/>
            <w:hideMark/>
          </w:tcPr>
          <w:p w14:paraId="402D9A0F" w14:textId="101BB337" w:rsidR="00CA448C" w:rsidRPr="00433FF7" w:rsidRDefault="006E111A" w:rsidP="0023573D">
            <w:pPr>
              <w:spacing w:after="0" w:line="240" w:lineRule="auto"/>
              <w:rPr>
                <w:rFonts w:eastAsia="Times New Roman" w:cs="Arial"/>
                <w:color w:val="000000"/>
                <w:sz w:val="20"/>
              </w:rPr>
            </w:pPr>
            <w:r w:rsidRPr="00433FF7">
              <w:rPr>
                <w:rFonts w:eastAsia="Times New Roman" w:cs="Arial"/>
                <w:color w:val="000000"/>
                <w:sz w:val="20"/>
              </w:rPr>
              <w:t>Natural Gas</w:t>
            </w:r>
          </w:p>
        </w:tc>
        <w:tc>
          <w:tcPr>
            <w:tcW w:w="1030" w:type="dxa"/>
            <w:shd w:val="clear" w:color="auto" w:fill="auto"/>
            <w:noWrap/>
            <w:vAlign w:val="center"/>
            <w:hideMark/>
          </w:tcPr>
          <w:p w14:paraId="307BF782" w14:textId="5780E4BF" w:rsidR="00CA448C" w:rsidRPr="00433FF7" w:rsidRDefault="00CA448C" w:rsidP="0023573D">
            <w:pPr>
              <w:spacing w:after="0" w:line="240" w:lineRule="auto"/>
              <w:rPr>
                <w:rFonts w:eastAsia="Times New Roman" w:cs="Arial"/>
                <w:color w:val="000000"/>
                <w:sz w:val="20"/>
              </w:rPr>
            </w:pPr>
            <w:r w:rsidRPr="00433FF7">
              <w:rPr>
                <w:rFonts w:eastAsia="Times New Roman" w:cs="Arial"/>
                <w:color w:val="000000"/>
                <w:sz w:val="20"/>
              </w:rPr>
              <w:t>LN</w:t>
            </w:r>
            <w:r w:rsidR="009D7B93">
              <w:rPr>
                <w:rFonts w:eastAsia="Times New Roman" w:cs="Arial"/>
                <w:color w:val="000000"/>
                <w:sz w:val="20"/>
              </w:rPr>
              <w:t>CS</w:t>
            </w:r>
          </w:p>
        </w:tc>
        <w:tc>
          <w:tcPr>
            <w:tcW w:w="1260" w:type="dxa"/>
            <w:vAlign w:val="center"/>
          </w:tcPr>
          <w:p w14:paraId="1ED309B3" w14:textId="77777777" w:rsidR="00CA448C" w:rsidRPr="00433FF7" w:rsidRDefault="00CA448C" w:rsidP="0023573D">
            <w:pPr>
              <w:spacing w:after="0" w:line="240" w:lineRule="auto"/>
              <w:rPr>
                <w:rFonts w:eastAsia="Times New Roman" w:cs="Arial"/>
                <w:color w:val="000000"/>
                <w:sz w:val="20"/>
              </w:rPr>
            </w:pPr>
            <w:r w:rsidRPr="00433FF7">
              <w:rPr>
                <w:rFonts w:eastAsia="Times New Roman" w:cs="Arial"/>
                <w:color w:val="000000"/>
                <w:sz w:val="20"/>
              </w:rPr>
              <w:t>N/A</w:t>
            </w:r>
          </w:p>
        </w:tc>
        <w:tc>
          <w:tcPr>
            <w:tcW w:w="1467" w:type="dxa"/>
            <w:vAlign w:val="center"/>
          </w:tcPr>
          <w:p w14:paraId="2127D8D8" w14:textId="77777777" w:rsidR="00CA448C" w:rsidRPr="00433FF7" w:rsidRDefault="00CA448C" w:rsidP="0023573D">
            <w:pPr>
              <w:spacing w:after="0" w:line="240" w:lineRule="auto"/>
              <w:rPr>
                <w:rFonts w:eastAsia="Times New Roman" w:cs="Arial"/>
                <w:color w:val="000000"/>
                <w:sz w:val="20"/>
              </w:rPr>
            </w:pPr>
            <w:r w:rsidRPr="00433FF7">
              <w:rPr>
                <w:rFonts w:eastAsia="Times New Roman" w:cs="Arial"/>
                <w:color w:val="000000"/>
                <w:sz w:val="20"/>
              </w:rPr>
              <w:t>N/A</w:t>
            </w:r>
          </w:p>
        </w:tc>
        <w:tc>
          <w:tcPr>
            <w:tcW w:w="1238" w:type="dxa"/>
            <w:shd w:val="clear" w:color="auto" w:fill="auto"/>
            <w:noWrap/>
            <w:vAlign w:val="center"/>
            <w:hideMark/>
          </w:tcPr>
          <w:p w14:paraId="10B68E85" w14:textId="77777777" w:rsidR="00CA448C" w:rsidRPr="00433FF7" w:rsidRDefault="00CA448C" w:rsidP="0023573D">
            <w:pPr>
              <w:spacing w:after="0" w:line="240" w:lineRule="auto"/>
              <w:rPr>
                <w:rFonts w:eastAsia="Times New Roman" w:cs="Arial"/>
                <w:color w:val="000000"/>
                <w:sz w:val="20"/>
              </w:rPr>
            </w:pPr>
            <w:r w:rsidRPr="00433FF7">
              <w:rPr>
                <w:rFonts w:eastAsia="Times New Roman" w:cs="Arial"/>
                <w:color w:val="000000"/>
                <w:sz w:val="20"/>
              </w:rPr>
              <w:t>N/A</w:t>
            </w:r>
          </w:p>
        </w:tc>
        <w:tc>
          <w:tcPr>
            <w:tcW w:w="1425" w:type="dxa"/>
            <w:shd w:val="clear" w:color="auto" w:fill="auto"/>
            <w:noWrap/>
            <w:vAlign w:val="center"/>
            <w:hideMark/>
          </w:tcPr>
          <w:p w14:paraId="468632B2" w14:textId="47BCDDCA" w:rsidR="00CA448C" w:rsidRPr="00433FF7" w:rsidRDefault="00EE041B" w:rsidP="0023573D">
            <w:pPr>
              <w:spacing w:after="0" w:line="240" w:lineRule="auto"/>
              <w:rPr>
                <w:rFonts w:eastAsia="Times New Roman" w:cs="Arial"/>
                <w:color w:val="000000"/>
                <w:sz w:val="20"/>
              </w:rPr>
            </w:pPr>
            <w:r>
              <w:rPr>
                <w:rFonts w:eastAsia="Times New Roman" w:cs="Arial"/>
                <w:color w:val="000000"/>
                <w:sz w:val="20"/>
              </w:rPr>
              <w:t>OC</w:t>
            </w:r>
          </w:p>
        </w:tc>
      </w:tr>
      <w:tr w:rsidR="008965A5" w:rsidRPr="00254F7E" w14:paraId="4CD2E89F" w14:textId="77777777" w:rsidTr="00001A14">
        <w:trPr>
          <w:cantSplit/>
          <w:trHeight w:hRule="exact" w:val="596"/>
        </w:trPr>
        <w:tc>
          <w:tcPr>
            <w:tcW w:w="1712" w:type="dxa"/>
            <w:shd w:val="clear" w:color="auto" w:fill="auto"/>
            <w:noWrap/>
            <w:vAlign w:val="center"/>
          </w:tcPr>
          <w:p w14:paraId="0F10603C" w14:textId="29293AFE" w:rsidR="008965A5" w:rsidRPr="00433FF7" w:rsidRDefault="00842C10" w:rsidP="008965A5">
            <w:pPr>
              <w:spacing w:after="0" w:line="240" w:lineRule="auto"/>
              <w:rPr>
                <w:rFonts w:eastAsia="Times New Roman" w:cs="Arial"/>
                <w:color w:val="000000"/>
                <w:sz w:val="20"/>
              </w:rPr>
            </w:pPr>
            <w:r>
              <w:rPr>
                <w:rFonts w:eastAsia="Times New Roman" w:cs="Arial"/>
                <w:color w:val="000000"/>
                <w:sz w:val="20"/>
              </w:rPr>
              <w:t>Proposed</w:t>
            </w:r>
            <w:r w:rsidR="008965A5">
              <w:rPr>
                <w:rFonts w:eastAsia="Times New Roman" w:cs="Arial"/>
                <w:color w:val="000000"/>
                <w:sz w:val="20"/>
              </w:rPr>
              <w:t xml:space="preserve"> </w:t>
            </w:r>
            <w:r w:rsidR="00950D76">
              <w:rPr>
                <w:rFonts w:eastAsia="Times New Roman" w:cs="Arial"/>
                <w:color w:val="000000"/>
                <w:sz w:val="20"/>
              </w:rPr>
              <w:br/>
            </w:r>
            <w:r w:rsidR="008965A5">
              <w:rPr>
                <w:rFonts w:eastAsia="Times New Roman" w:cs="Arial"/>
                <w:color w:val="000000"/>
                <w:sz w:val="20"/>
              </w:rPr>
              <w:t>Yates 8</w:t>
            </w:r>
            <w:r>
              <w:rPr>
                <w:rFonts w:eastAsia="Times New Roman" w:cs="Arial"/>
                <w:color w:val="000000"/>
                <w:sz w:val="20"/>
              </w:rPr>
              <w:t xml:space="preserve"> –</w:t>
            </w:r>
            <w:r w:rsidRPr="00433FF7">
              <w:rPr>
                <w:rFonts w:eastAsia="Times New Roman" w:cs="Arial"/>
                <w:color w:val="000000"/>
                <w:sz w:val="20"/>
              </w:rPr>
              <w:t xml:space="preserve"> </w:t>
            </w:r>
            <w:r w:rsidR="008965A5">
              <w:rPr>
                <w:rFonts w:eastAsia="Times New Roman" w:cs="Arial"/>
                <w:color w:val="000000"/>
                <w:sz w:val="20"/>
              </w:rPr>
              <w:t>10</w:t>
            </w:r>
          </w:p>
        </w:tc>
        <w:tc>
          <w:tcPr>
            <w:tcW w:w="1208" w:type="dxa"/>
            <w:shd w:val="clear" w:color="auto" w:fill="auto"/>
            <w:noWrap/>
            <w:vAlign w:val="center"/>
          </w:tcPr>
          <w:p w14:paraId="0248A1E9" w14:textId="14644254" w:rsidR="008965A5" w:rsidRPr="00433FF7" w:rsidRDefault="008965A5" w:rsidP="008965A5">
            <w:pPr>
              <w:spacing w:after="0" w:line="240" w:lineRule="auto"/>
              <w:rPr>
                <w:rFonts w:eastAsia="Times New Roman" w:cs="Arial"/>
                <w:color w:val="000000"/>
                <w:sz w:val="20"/>
              </w:rPr>
            </w:pPr>
            <w:r>
              <w:rPr>
                <w:rFonts w:eastAsia="Times New Roman" w:cs="Arial"/>
                <w:color w:val="000000"/>
                <w:sz w:val="20"/>
              </w:rPr>
              <w:t>Natural Gas</w:t>
            </w:r>
          </w:p>
        </w:tc>
        <w:tc>
          <w:tcPr>
            <w:tcW w:w="1030" w:type="dxa"/>
            <w:shd w:val="clear" w:color="auto" w:fill="auto"/>
            <w:noWrap/>
            <w:vAlign w:val="center"/>
          </w:tcPr>
          <w:p w14:paraId="37781F64" w14:textId="5719D09A" w:rsidR="008965A5" w:rsidRPr="00433FF7" w:rsidRDefault="008965A5" w:rsidP="008965A5">
            <w:pPr>
              <w:spacing w:after="0" w:line="240" w:lineRule="auto"/>
              <w:rPr>
                <w:rFonts w:eastAsia="Times New Roman" w:cs="Arial"/>
                <w:color w:val="000000"/>
                <w:sz w:val="20"/>
              </w:rPr>
            </w:pPr>
            <w:r>
              <w:rPr>
                <w:rFonts w:eastAsia="Times New Roman" w:cs="Arial"/>
                <w:color w:val="000000"/>
                <w:sz w:val="20"/>
              </w:rPr>
              <w:t>LNCS</w:t>
            </w:r>
            <w:r w:rsidRPr="00433FF7">
              <w:rPr>
                <w:rFonts w:eastAsia="Times New Roman" w:cs="Arial"/>
                <w:color w:val="000000"/>
                <w:sz w:val="20"/>
              </w:rPr>
              <w:t>/SCR</w:t>
            </w:r>
          </w:p>
        </w:tc>
        <w:tc>
          <w:tcPr>
            <w:tcW w:w="1260" w:type="dxa"/>
            <w:vAlign w:val="center"/>
          </w:tcPr>
          <w:p w14:paraId="16591E91" w14:textId="010239CC" w:rsidR="008965A5" w:rsidRPr="00433FF7" w:rsidRDefault="008965A5" w:rsidP="008965A5">
            <w:pPr>
              <w:spacing w:after="0" w:line="240" w:lineRule="auto"/>
              <w:rPr>
                <w:rFonts w:eastAsia="Times New Roman" w:cs="Arial"/>
                <w:color w:val="000000"/>
                <w:sz w:val="20"/>
              </w:rPr>
            </w:pPr>
            <w:r w:rsidRPr="00433FF7">
              <w:rPr>
                <w:rFonts w:eastAsia="Times New Roman" w:cs="Arial"/>
                <w:color w:val="000000"/>
                <w:sz w:val="20"/>
              </w:rPr>
              <w:t>N/A</w:t>
            </w:r>
          </w:p>
        </w:tc>
        <w:tc>
          <w:tcPr>
            <w:tcW w:w="1467" w:type="dxa"/>
            <w:vAlign w:val="center"/>
          </w:tcPr>
          <w:p w14:paraId="73F665FB" w14:textId="4D700094" w:rsidR="008965A5" w:rsidRPr="00433FF7" w:rsidRDefault="008965A5" w:rsidP="008965A5">
            <w:pPr>
              <w:spacing w:after="0" w:line="240" w:lineRule="auto"/>
              <w:rPr>
                <w:rFonts w:eastAsia="Times New Roman" w:cs="Arial"/>
                <w:color w:val="000000"/>
                <w:sz w:val="20"/>
              </w:rPr>
            </w:pPr>
            <w:r w:rsidRPr="00433FF7">
              <w:rPr>
                <w:rFonts w:eastAsia="Times New Roman" w:cs="Arial"/>
                <w:color w:val="000000"/>
                <w:sz w:val="20"/>
              </w:rPr>
              <w:t>N/A</w:t>
            </w:r>
          </w:p>
        </w:tc>
        <w:tc>
          <w:tcPr>
            <w:tcW w:w="1238" w:type="dxa"/>
            <w:shd w:val="clear" w:color="auto" w:fill="auto"/>
            <w:noWrap/>
            <w:vAlign w:val="center"/>
          </w:tcPr>
          <w:p w14:paraId="4EB34F0F" w14:textId="5CD313D1" w:rsidR="008965A5" w:rsidRPr="00433FF7" w:rsidRDefault="008965A5" w:rsidP="008965A5">
            <w:pPr>
              <w:spacing w:after="0" w:line="240" w:lineRule="auto"/>
              <w:rPr>
                <w:rFonts w:eastAsia="Times New Roman" w:cs="Arial"/>
                <w:color w:val="000000"/>
                <w:sz w:val="20"/>
              </w:rPr>
            </w:pPr>
            <w:r w:rsidRPr="00433FF7">
              <w:rPr>
                <w:rFonts w:eastAsia="Times New Roman" w:cs="Arial"/>
                <w:color w:val="000000"/>
                <w:sz w:val="20"/>
              </w:rPr>
              <w:t>N/A</w:t>
            </w:r>
          </w:p>
        </w:tc>
        <w:tc>
          <w:tcPr>
            <w:tcW w:w="1425" w:type="dxa"/>
            <w:shd w:val="clear" w:color="auto" w:fill="auto"/>
            <w:noWrap/>
            <w:vAlign w:val="center"/>
          </w:tcPr>
          <w:p w14:paraId="4FECDC79" w14:textId="237E18DA" w:rsidR="008965A5" w:rsidRDefault="008965A5" w:rsidP="008965A5">
            <w:pPr>
              <w:spacing w:after="0" w:line="240" w:lineRule="auto"/>
              <w:rPr>
                <w:rFonts w:eastAsia="Times New Roman" w:cs="Arial"/>
                <w:color w:val="000000"/>
                <w:sz w:val="20"/>
              </w:rPr>
            </w:pPr>
            <w:r>
              <w:rPr>
                <w:rFonts w:eastAsia="Times New Roman" w:cs="Arial"/>
                <w:color w:val="000000"/>
                <w:sz w:val="20"/>
              </w:rPr>
              <w:t>OC</w:t>
            </w:r>
          </w:p>
        </w:tc>
      </w:tr>
    </w:tbl>
    <w:p w14:paraId="63A2F104" w14:textId="77777777" w:rsidR="00A317B9" w:rsidRDefault="00A317B9" w:rsidP="008965A5">
      <w:pPr>
        <w:spacing w:after="0" w:line="240" w:lineRule="auto"/>
        <w:ind w:left="720"/>
        <w:jc w:val="left"/>
        <w:rPr>
          <w:b/>
          <w:bCs/>
          <w:sz w:val="18"/>
          <w:szCs w:val="18"/>
        </w:rPr>
        <w:sectPr w:rsidR="00A317B9" w:rsidSect="008D4115">
          <w:footerReference w:type="default" r:id="rId23"/>
          <w:pgSz w:w="12240" w:h="15840"/>
          <w:pgMar w:top="1440" w:right="1440" w:bottom="1440" w:left="1440" w:header="720" w:footer="720" w:gutter="0"/>
          <w:pgNumType w:start="1"/>
          <w:cols w:space="720"/>
          <w:docGrid w:linePitch="360"/>
        </w:sectPr>
      </w:pPr>
    </w:p>
    <w:tbl>
      <w:tblPr>
        <w:tblW w:w="9340" w:type="dxa"/>
        <w:tblLook w:val="04A0" w:firstRow="1" w:lastRow="0" w:firstColumn="1" w:lastColumn="0" w:noHBand="0" w:noVBand="1"/>
      </w:tblPr>
      <w:tblGrid>
        <w:gridCol w:w="2690"/>
        <w:gridCol w:w="3325"/>
        <w:gridCol w:w="3325"/>
      </w:tblGrid>
      <w:tr w:rsidR="008965A5" w:rsidRPr="00254F7E" w14:paraId="223AE278" w14:textId="77777777" w:rsidTr="001652A8">
        <w:trPr>
          <w:cantSplit/>
          <w:trHeight w:val="880"/>
        </w:trPr>
        <w:tc>
          <w:tcPr>
            <w:tcW w:w="2690" w:type="dxa"/>
            <w:shd w:val="clear" w:color="auto" w:fill="auto"/>
            <w:noWrap/>
            <w:vAlign w:val="center"/>
          </w:tcPr>
          <w:p w14:paraId="6C256319" w14:textId="77777777" w:rsidR="008965A5" w:rsidRPr="00E818FD" w:rsidRDefault="008965A5" w:rsidP="001652A8">
            <w:pPr>
              <w:spacing w:after="0" w:line="240" w:lineRule="auto"/>
              <w:jc w:val="left"/>
              <w:rPr>
                <w:b/>
                <w:bCs/>
                <w:sz w:val="18"/>
                <w:szCs w:val="18"/>
              </w:rPr>
            </w:pPr>
            <w:r w:rsidRPr="00E818FD">
              <w:rPr>
                <w:b/>
                <w:bCs/>
                <w:sz w:val="18"/>
                <w:szCs w:val="18"/>
              </w:rPr>
              <w:t>Control Equipment Key:</w:t>
            </w:r>
          </w:p>
          <w:p w14:paraId="7157A68C" w14:textId="77777777" w:rsidR="008965A5" w:rsidRPr="00E818FD" w:rsidRDefault="008965A5" w:rsidP="001652A8">
            <w:pPr>
              <w:spacing w:after="0" w:line="240" w:lineRule="auto"/>
              <w:jc w:val="left"/>
              <w:rPr>
                <w:sz w:val="18"/>
                <w:szCs w:val="18"/>
              </w:rPr>
            </w:pPr>
            <w:r w:rsidRPr="00E818FD">
              <w:rPr>
                <w:sz w:val="18"/>
                <w:szCs w:val="18"/>
              </w:rPr>
              <w:t>BH = Baghouse</w:t>
            </w:r>
          </w:p>
          <w:p w14:paraId="4A9D3B6D" w14:textId="010B4B15" w:rsidR="008965A5" w:rsidRPr="00E818FD" w:rsidRDefault="008965A5" w:rsidP="001652A8">
            <w:pPr>
              <w:spacing w:after="0" w:line="240" w:lineRule="auto"/>
              <w:jc w:val="left"/>
              <w:rPr>
                <w:sz w:val="18"/>
                <w:szCs w:val="18"/>
              </w:rPr>
            </w:pPr>
            <w:r w:rsidRPr="00E818FD">
              <w:rPr>
                <w:sz w:val="18"/>
                <w:szCs w:val="18"/>
              </w:rPr>
              <w:t>ACI = Activated Carbon Injection</w:t>
            </w:r>
          </w:p>
          <w:p w14:paraId="7D5611CE" w14:textId="71A77427" w:rsidR="008965A5" w:rsidRPr="00E818FD" w:rsidRDefault="008965A5" w:rsidP="00B0337F">
            <w:pPr>
              <w:spacing w:after="0" w:line="240" w:lineRule="auto"/>
              <w:jc w:val="left"/>
              <w:rPr>
                <w:sz w:val="18"/>
                <w:szCs w:val="18"/>
              </w:rPr>
            </w:pPr>
            <w:r w:rsidRPr="00E818FD">
              <w:rPr>
                <w:sz w:val="18"/>
                <w:szCs w:val="18"/>
              </w:rPr>
              <w:t>ALK = Alkali Sorbent Injection</w:t>
            </w:r>
          </w:p>
        </w:tc>
        <w:tc>
          <w:tcPr>
            <w:tcW w:w="3325" w:type="dxa"/>
            <w:vAlign w:val="center"/>
          </w:tcPr>
          <w:p w14:paraId="4E67C0DA" w14:textId="77777777" w:rsidR="001652A8" w:rsidRPr="00E818FD" w:rsidRDefault="001652A8" w:rsidP="008965A5">
            <w:pPr>
              <w:spacing w:after="0" w:line="240" w:lineRule="auto"/>
              <w:ind w:left="720"/>
              <w:jc w:val="left"/>
              <w:rPr>
                <w:sz w:val="18"/>
                <w:szCs w:val="18"/>
              </w:rPr>
            </w:pPr>
          </w:p>
          <w:p w14:paraId="1B1863CC" w14:textId="77777777" w:rsidR="001652A8" w:rsidRDefault="001652A8" w:rsidP="008965A5">
            <w:pPr>
              <w:spacing w:after="0" w:line="240" w:lineRule="auto"/>
              <w:jc w:val="left"/>
              <w:rPr>
                <w:sz w:val="18"/>
                <w:szCs w:val="18"/>
              </w:rPr>
            </w:pPr>
            <w:r w:rsidRPr="00E818FD">
              <w:rPr>
                <w:sz w:val="18"/>
                <w:szCs w:val="18"/>
              </w:rPr>
              <w:t xml:space="preserve">ESP = Electrostatic Precipitator </w:t>
            </w:r>
          </w:p>
          <w:p w14:paraId="39B54E33" w14:textId="76CC6A56" w:rsidR="001652A8" w:rsidRDefault="001652A8" w:rsidP="008965A5">
            <w:pPr>
              <w:spacing w:after="0" w:line="240" w:lineRule="auto"/>
              <w:jc w:val="left"/>
              <w:rPr>
                <w:sz w:val="18"/>
                <w:szCs w:val="18"/>
              </w:rPr>
            </w:pPr>
            <w:r w:rsidRPr="00E818FD">
              <w:rPr>
                <w:sz w:val="18"/>
                <w:szCs w:val="18"/>
              </w:rPr>
              <w:t>LNCS = Low N</w:t>
            </w:r>
            <w:r>
              <w:rPr>
                <w:sz w:val="18"/>
                <w:szCs w:val="18"/>
              </w:rPr>
              <w:t>O</w:t>
            </w:r>
            <w:r w:rsidRPr="00E818FD">
              <w:rPr>
                <w:sz w:val="18"/>
                <w:szCs w:val="18"/>
              </w:rPr>
              <w:t>x Combustion System</w:t>
            </w:r>
          </w:p>
          <w:p w14:paraId="03915048" w14:textId="11B95B02" w:rsidR="001652A8" w:rsidRPr="00E818FD" w:rsidRDefault="001652A8" w:rsidP="001B4E38">
            <w:pPr>
              <w:spacing w:after="0" w:line="240" w:lineRule="auto"/>
              <w:jc w:val="left"/>
              <w:rPr>
                <w:sz w:val="18"/>
                <w:szCs w:val="18"/>
              </w:rPr>
            </w:pPr>
            <w:r>
              <w:rPr>
                <w:sz w:val="18"/>
                <w:szCs w:val="18"/>
              </w:rPr>
              <w:t xml:space="preserve">MRCS = Mercury Re-emission Control </w:t>
            </w:r>
          </w:p>
        </w:tc>
        <w:tc>
          <w:tcPr>
            <w:tcW w:w="3325" w:type="dxa"/>
            <w:vAlign w:val="center"/>
          </w:tcPr>
          <w:p w14:paraId="20B9B691" w14:textId="0D11EBD7" w:rsidR="001652A8" w:rsidRPr="00E818FD" w:rsidRDefault="001652A8" w:rsidP="008965A5">
            <w:pPr>
              <w:spacing w:after="0" w:line="240" w:lineRule="auto"/>
              <w:jc w:val="left"/>
              <w:rPr>
                <w:sz w:val="18"/>
                <w:szCs w:val="18"/>
              </w:rPr>
            </w:pPr>
            <w:r>
              <w:rPr>
                <w:sz w:val="18"/>
                <w:szCs w:val="18"/>
              </w:rPr>
              <w:t>OC = Oxidation Catalyst</w:t>
            </w:r>
          </w:p>
          <w:p w14:paraId="1206997C" w14:textId="1497079A" w:rsidR="008965A5" w:rsidRPr="00E818FD" w:rsidRDefault="008965A5" w:rsidP="008965A5">
            <w:pPr>
              <w:spacing w:after="0" w:line="240" w:lineRule="auto"/>
              <w:jc w:val="left"/>
              <w:rPr>
                <w:sz w:val="18"/>
                <w:szCs w:val="18"/>
              </w:rPr>
            </w:pPr>
            <w:r w:rsidRPr="00E818FD">
              <w:rPr>
                <w:sz w:val="18"/>
                <w:szCs w:val="18"/>
              </w:rPr>
              <w:t>SCR = Selective Catalytic Reduction</w:t>
            </w:r>
          </w:p>
        </w:tc>
      </w:tr>
    </w:tbl>
    <w:p w14:paraId="49FF6908" w14:textId="77777777" w:rsidR="007A6FD2" w:rsidRDefault="007A6FD2" w:rsidP="00447015">
      <w:pPr>
        <w:spacing w:after="0" w:line="240" w:lineRule="auto"/>
        <w:sectPr w:rsidR="007A6FD2" w:rsidSect="00E57D27">
          <w:type w:val="continuous"/>
          <w:pgSz w:w="12240" w:h="15840"/>
          <w:pgMar w:top="1440" w:right="1440" w:bottom="1440" w:left="1440" w:header="720" w:footer="720" w:gutter="0"/>
          <w:cols w:num="3" w:space="720"/>
          <w:docGrid w:linePitch="360"/>
        </w:sectPr>
      </w:pPr>
    </w:p>
    <w:p w14:paraId="06AF5C18" w14:textId="77777777" w:rsidR="0002482F" w:rsidRPr="00C1033B" w:rsidRDefault="0002482F" w:rsidP="0002482F">
      <w:pPr>
        <w:pStyle w:val="Heading1"/>
        <w:spacing w:before="120" w:after="0"/>
        <w:rPr>
          <w:b/>
          <w:bCs/>
          <w:sz w:val="28"/>
          <w:szCs w:val="28"/>
        </w:rPr>
      </w:pPr>
      <w:bookmarkStart w:id="50" w:name="_Toc130201007"/>
      <w:r w:rsidRPr="00C1033B">
        <w:rPr>
          <w:b/>
          <w:bCs/>
          <w:sz w:val="28"/>
          <w:szCs w:val="28"/>
        </w:rPr>
        <w:lastRenderedPageBreak/>
        <w:t>2.</w:t>
      </w:r>
      <w:r>
        <w:rPr>
          <w:b/>
          <w:bCs/>
          <w:sz w:val="28"/>
          <w:szCs w:val="28"/>
        </w:rPr>
        <w:t>3</w:t>
      </w:r>
      <w:r w:rsidRPr="00C1033B">
        <w:rPr>
          <w:b/>
          <w:bCs/>
          <w:sz w:val="28"/>
          <w:szCs w:val="28"/>
        </w:rPr>
        <w:t>.1 National Ambient Air Quality Standards and Georgia Regulations</w:t>
      </w:r>
      <w:bookmarkEnd w:id="50"/>
    </w:p>
    <w:p w14:paraId="7466EA4C" w14:textId="6CBA42D8" w:rsidR="00CA448C" w:rsidRDefault="00CA448C" w:rsidP="00CA448C">
      <w:pPr>
        <w:autoSpaceDE w:val="0"/>
        <w:autoSpaceDN w:val="0"/>
        <w:adjustRightInd w:val="0"/>
        <w:spacing w:before="120" w:after="0" w:line="240" w:lineRule="auto"/>
        <w:rPr>
          <w:rFonts w:cs="Arial"/>
          <w:bCs/>
          <w:szCs w:val="24"/>
        </w:rPr>
      </w:pPr>
      <w:r w:rsidRPr="00DB7156">
        <w:rPr>
          <w:rFonts w:cs="Arial"/>
          <w:bCs/>
          <w:szCs w:val="24"/>
        </w:rPr>
        <w:t xml:space="preserve">The CAA </w:t>
      </w:r>
      <w:r>
        <w:rPr>
          <w:rFonts w:cs="Arial"/>
          <w:bCs/>
          <w:szCs w:val="24"/>
        </w:rPr>
        <w:t xml:space="preserve">of 1970 centralized the authority to set National Ambient Air Quality Standards (“NAAQS”) and </w:t>
      </w:r>
      <w:r w:rsidRPr="00DB7156">
        <w:rPr>
          <w:rFonts w:cs="Arial"/>
          <w:bCs/>
          <w:szCs w:val="24"/>
        </w:rPr>
        <w:t xml:space="preserve">requires EPA to review the primary and secondary NAAQS every </w:t>
      </w:r>
      <w:r>
        <w:rPr>
          <w:rFonts w:cs="Arial"/>
          <w:bCs/>
          <w:szCs w:val="24"/>
        </w:rPr>
        <w:t>five</w:t>
      </w:r>
      <w:r w:rsidRPr="00DB7156">
        <w:rPr>
          <w:rFonts w:cs="Arial"/>
          <w:bCs/>
          <w:szCs w:val="24"/>
        </w:rPr>
        <w:t xml:space="preserve"> years and revise them as necessary. These reviews have resulted in multiple, significant changes to the ozone and </w:t>
      </w:r>
      <w:r w:rsidR="00F83204">
        <w:rPr>
          <w:rFonts w:cs="Arial"/>
          <w:bCs/>
          <w:szCs w:val="24"/>
        </w:rPr>
        <w:t>particulate matter</w:t>
      </w:r>
      <w:r w:rsidRPr="00DB7156">
        <w:rPr>
          <w:rFonts w:cs="Arial"/>
          <w:bCs/>
          <w:szCs w:val="24"/>
        </w:rPr>
        <w:t xml:space="preserve"> </w:t>
      </w:r>
      <w:r w:rsidR="00F83204">
        <w:rPr>
          <w:rFonts w:cs="Arial"/>
          <w:bCs/>
          <w:szCs w:val="24"/>
        </w:rPr>
        <w:t xml:space="preserve">(“PM”) </w:t>
      </w:r>
      <w:r w:rsidRPr="00DB7156">
        <w:rPr>
          <w:rFonts w:cs="Arial"/>
          <w:bCs/>
          <w:szCs w:val="24"/>
        </w:rPr>
        <w:t>NAAQS, the addition of short-term primary SO</w:t>
      </w:r>
      <w:r w:rsidRPr="00DB7156">
        <w:rPr>
          <w:rFonts w:cs="Arial"/>
          <w:bCs/>
          <w:szCs w:val="24"/>
          <w:vertAlign w:val="subscript"/>
        </w:rPr>
        <w:t>2</w:t>
      </w:r>
      <w:r w:rsidRPr="00DB7156">
        <w:rPr>
          <w:rFonts w:cs="Arial"/>
          <w:bCs/>
          <w:szCs w:val="24"/>
        </w:rPr>
        <w:t xml:space="preserve"> and </w:t>
      </w:r>
      <w:r w:rsidRPr="003146EA">
        <w:rPr>
          <w:rFonts w:cs="Arial"/>
          <w:bCs/>
          <w:szCs w:val="24"/>
        </w:rPr>
        <w:t>nitrogen dioxide</w:t>
      </w:r>
      <w:r>
        <w:rPr>
          <w:rFonts w:cs="Arial"/>
          <w:bCs/>
          <w:szCs w:val="24"/>
        </w:rPr>
        <w:t xml:space="preserve"> (“</w:t>
      </w:r>
      <w:r w:rsidRPr="00DB7156">
        <w:rPr>
          <w:rFonts w:cs="Arial"/>
          <w:bCs/>
          <w:szCs w:val="24"/>
        </w:rPr>
        <w:t>NO</w:t>
      </w:r>
      <w:r w:rsidRPr="00DB7156">
        <w:rPr>
          <w:rFonts w:cs="Arial"/>
          <w:bCs/>
          <w:szCs w:val="24"/>
          <w:vertAlign w:val="subscript"/>
        </w:rPr>
        <w:t>2</w:t>
      </w:r>
      <w:r>
        <w:rPr>
          <w:rFonts w:cs="Arial"/>
          <w:bCs/>
          <w:szCs w:val="24"/>
        </w:rPr>
        <w:t>“)</w:t>
      </w:r>
      <w:r w:rsidRPr="00DB7156">
        <w:rPr>
          <w:rFonts w:cs="Arial"/>
          <w:bCs/>
          <w:szCs w:val="24"/>
        </w:rPr>
        <w:t xml:space="preserve"> NAAQS</w:t>
      </w:r>
      <w:r>
        <w:rPr>
          <w:rFonts w:cs="Arial"/>
          <w:bCs/>
          <w:szCs w:val="24"/>
        </w:rPr>
        <w:t>, and other air quality standards updates</w:t>
      </w:r>
      <w:r w:rsidRPr="00DB7156">
        <w:rPr>
          <w:rFonts w:cs="Arial"/>
          <w:bCs/>
          <w:szCs w:val="24"/>
        </w:rPr>
        <w:t>.  Implementing these standards is generally a state responsibility; however, EPA has also issued rules, such as the NO</w:t>
      </w:r>
      <w:r w:rsidRPr="00DB7156">
        <w:rPr>
          <w:rFonts w:cs="Arial"/>
          <w:bCs/>
          <w:szCs w:val="24"/>
          <w:vertAlign w:val="subscript"/>
        </w:rPr>
        <w:t>x</w:t>
      </w:r>
      <w:r w:rsidRPr="00DB7156">
        <w:rPr>
          <w:rFonts w:cs="Arial"/>
          <w:bCs/>
          <w:szCs w:val="24"/>
        </w:rPr>
        <w:t xml:space="preserve"> </w:t>
      </w:r>
      <w:r>
        <w:rPr>
          <w:rFonts w:cs="Arial"/>
          <w:bCs/>
          <w:szCs w:val="24"/>
        </w:rPr>
        <w:t>Budget Trading Program</w:t>
      </w:r>
      <w:r w:rsidRPr="00DB7156">
        <w:rPr>
          <w:rFonts w:cs="Arial"/>
          <w:bCs/>
          <w:szCs w:val="24"/>
        </w:rPr>
        <w:t xml:space="preserve">, </w:t>
      </w:r>
      <w:r>
        <w:rPr>
          <w:rFonts w:cs="Arial"/>
          <w:bCs/>
          <w:szCs w:val="24"/>
        </w:rPr>
        <w:t>the Clean Air Interstate Rule (</w:t>
      </w:r>
      <w:r w:rsidR="002D30D1">
        <w:rPr>
          <w:rFonts w:cs="Arial"/>
          <w:bCs/>
          <w:szCs w:val="24"/>
        </w:rPr>
        <w:t>“</w:t>
      </w:r>
      <w:r w:rsidRPr="00DB7156">
        <w:rPr>
          <w:rFonts w:cs="Arial"/>
          <w:bCs/>
          <w:szCs w:val="24"/>
        </w:rPr>
        <w:t>CAIR</w:t>
      </w:r>
      <w:r w:rsidR="002D30D1">
        <w:rPr>
          <w:rFonts w:cs="Arial"/>
          <w:bCs/>
          <w:szCs w:val="24"/>
        </w:rPr>
        <w:t>”</w:t>
      </w:r>
      <w:r>
        <w:rPr>
          <w:rFonts w:cs="Arial"/>
          <w:bCs/>
          <w:szCs w:val="24"/>
        </w:rPr>
        <w:t>)</w:t>
      </w:r>
      <w:r w:rsidRPr="00DB7156">
        <w:rPr>
          <w:rFonts w:cs="Arial"/>
          <w:bCs/>
          <w:szCs w:val="24"/>
        </w:rPr>
        <w:t xml:space="preserve">, and </w:t>
      </w:r>
      <w:r>
        <w:rPr>
          <w:rFonts w:cs="Arial"/>
          <w:bCs/>
          <w:szCs w:val="24"/>
        </w:rPr>
        <w:t>the Cross State Air Pollution Rule (</w:t>
      </w:r>
      <w:r w:rsidR="002D30D1">
        <w:rPr>
          <w:rFonts w:cs="Arial"/>
          <w:bCs/>
          <w:szCs w:val="24"/>
        </w:rPr>
        <w:t>“</w:t>
      </w:r>
      <w:r w:rsidRPr="00DB7156">
        <w:rPr>
          <w:rFonts w:cs="Arial"/>
          <w:bCs/>
          <w:szCs w:val="24"/>
        </w:rPr>
        <w:t>CSAPR</w:t>
      </w:r>
      <w:r w:rsidR="002D30D1">
        <w:rPr>
          <w:rFonts w:cs="Arial"/>
          <w:bCs/>
          <w:szCs w:val="24"/>
        </w:rPr>
        <w:t>”</w:t>
      </w:r>
      <w:r>
        <w:rPr>
          <w:rFonts w:cs="Arial"/>
          <w:bCs/>
          <w:szCs w:val="24"/>
        </w:rPr>
        <w:t>)</w:t>
      </w:r>
      <w:r w:rsidR="005C0A86">
        <w:rPr>
          <w:rFonts w:cs="Arial"/>
          <w:bCs/>
          <w:szCs w:val="24"/>
        </w:rPr>
        <w:t xml:space="preserve"> programs</w:t>
      </w:r>
      <w:r w:rsidRPr="00DB7156">
        <w:rPr>
          <w:rFonts w:cs="Arial"/>
          <w:bCs/>
          <w:szCs w:val="24"/>
        </w:rPr>
        <w:t xml:space="preserve">, that deal with the transport of pollutants on a regional or multi-state </w:t>
      </w:r>
      <w:r w:rsidR="003F7178">
        <w:rPr>
          <w:rFonts w:cs="Arial"/>
          <w:bCs/>
          <w:szCs w:val="24"/>
        </w:rPr>
        <w:t>scale</w:t>
      </w:r>
      <w:r w:rsidR="003F7178" w:rsidRPr="00DB7156">
        <w:rPr>
          <w:rFonts w:cs="Arial"/>
          <w:bCs/>
          <w:szCs w:val="24"/>
        </w:rPr>
        <w:t xml:space="preserve"> </w:t>
      </w:r>
      <w:r w:rsidRPr="00DB7156">
        <w:rPr>
          <w:rFonts w:cs="Arial"/>
          <w:bCs/>
          <w:szCs w:val="24"/>
        </w:rPr>
        <w:t xml:space="preserve">to facilitate attainment with the NAAQS.   </w:t>
      </w:r>
    </w:p>
    <w:p w14:paraId="2B376091" w14:textId="77777777" w:rsidR="00CA448C" w:rsidRPr="00C1033B" w:rsidRDefault="00CA448C" w:rsidP="00CA448C">
      <w:pPr>
        <w:pStyle w:val="Heading4"/>
        <w:spacing w:before="120" w:line="240" w:lineRule="auto"/>
        <w:rPr>
          <w:b/>
          <w:bCs/>
        </w:rPr>
      </w:pPr>
      <w:r w:rsidRPr="00C1033B">
        <w:rPr>
          <w:b/>
          <w:bCs/>
        </w:rPr>
        <w:t>Ozone (40 CFR 50.10)</w:t>
      </w:r>
    </w:p>
    <w:p w14:paraId="0680775E" w14:textId="773146BC" w:rsidR="00CA448C" w:rsidRDefault="00CA448C" w:rsidP="00CA448C">
      <w:pPr>
        <w:spacing w:before="120" w:after="0" w:line="240" w:lineRule="auto"/>
        <w:rPr>
          <w:rFonts w:cs="Arial"/>
        </w:rPr>
      </w:pPr>
      <w:r w:rsidRPr="57F1A317">
        <w:rPr>
          <w:rFonts w:cs="Arial"/>
        </w:rPr>
        <w:t>In 1979, EPA put into place an air quality standard</w:t>
      </w:r>
      <w:r>
        <w:rPr>
          <w:rFonts w:cs="Arial"/>
        </w:rPr>
        <w:t xml:space="preserve"> </w:t>
      </w:r>
      <w:r w:rsidRPr="57F1A317">
        <w:rPr>
          <w:rFonts w:cs="Arial"/>
        </w:rPr>
        <w:t>on 1-hour ozone concentrations of 120 parts per billion</w:t>
      </w:r>
      <w:r w:rsidR="002D30D1">
        <w:rPr>
          <w:rFonts w:cs="Arial"/>
        </w:rPr>
        <w:t xml:space="preserve"> (“ppb”)</w:t>
      </w:r>
      <w:r w:rsidRPr="57F1A317">
        <w:rPr>
          <w:rFonts w:cs="Arial"/>
        </w:rPr>
        <w:t>.  Subsequently, the Agency replaced the 1-hour standard with an 8-hour standard of 80 ppb in 1997, which was lowered to 75 ppb in 2008</w:t>
      </w:r>
      <w:r>
        <w:rPr>
          <w:rFonts w:cs="Arial"/>
        </w:rPr>
        <w:t xml:space="preserve"> and again to 70 ppb in 2015</w:t>
      </w:r>
      <w:r w:rsidRPr="57F1A317">
        <w:rPr>
          <w:rFonts w:cs="Arial"/>
        </w:rPr>
        <w:t xml:space="preserve">. </w:t>
      </w:r>
      <w:r>
        <w:rPr>
          <w:rFonts w:cs="Arial"/>
        </w:rPr>
        <w:t>I</w:t>
      </w:r>
      <w:r w:rsidRPr="172F7B2B">
        <w:rPr>
          <w:rFonts w:cs="Arial"/>
        </w:rPr>
        <w:t>n December 2020, EPA issued a final rule to retain the current standards for ozone</w:t>
      </w:r>
      <w:r>
        <w:rPr>
          <w:rFonts w:cs="Arial"/>
        </w:rPr>
        <w:t>, both primary and secondary,</w:t>
      </w:r>
      <w:r w:rsidRPr="172F7B2B">
        <w:rPr>
          <w:rFonts w:cs="Arial"/>
        </w:rPr>
        <w:t xml:space="preserve"> without revision based on EPA’s review of the air quality criteria and the NAAQS. </w:t>
      </w:r>
    </w:p>
    <w:p w14:paraId="096FF8B7" w14:textId="0BDF93F9" w:rsidR="00CA448C" w:rsidRDefault="00CA448C" w:rsidP="00CA448C">
      <w:pPr>
        <w:spacing w:before="120" w:after="0" w:line="240" w:lineRule="auto"/>
      </w:pPr>
      <w:r w:rsidRPr="57F1A317">
        <w:rPr>
          <w:rFonts w:cs="Arial"/>
        </w:rPr>
        <w:t xml:space="preserve">For each </w:t>
      </w:r>
      <w:r>
        <w:rPr>
          <w:rFonts w:cs="Arial"/>
        </w:rPr>
        <w:t xml:space="preserve">historical </w:t>
      </w:r>
      <w:r w:rsidRPr="57F1A317">
        <w:rPr>
          <w:rFonts w:cs="Arial"/>
        </w:rPr>
        <w:t>ozone standard, portions of the Atlanta metropolitan area were designated as nonattainment during implementation</w:t>
      </w:r>
      <w:r>
        <w:rPr>
          <w:rFonts w:cs="Arial"/>
        </w:rPr>
        <w:t xml:space="preserve"> before meeting the standard, as measured by air quality monitors, over </w:t>
      </w:r>
      <w:proofErr w:type="gramStart"/>
      <w:r>
        <w:rPr>
          <w:rFonts w:cs="Arial"/>
        </w:rPr>
        <w:t>a period of time</w:t>
      </w:r>
      <w:proofErr w:type="gramEnd"/>
      <w:r w:rsidRPr="57F1A317">
        <w:rPr>
          <w:rFonts w:cs="Arial"/>
        </w:rPr>
        <w:t xml:space="preserve">. </w:t>
      </w:r>
      <w:r>
        <w:rPr>
          <w:rFonts w:cs="Arial"/>
        </w:rPr>
        <w:t xml:space="preserve">Georgia’s implementation of past ozone standards </w:t>
      </w:r>
      <w:r w:rsidR="00A57F49">
        <w:rPr>
          <w:rFonts w:cs="Arial"/>
        </w:rPr>
        <w:t xml:space="preserve">included the establishment of </w:t>
      </w:r>
      <w:r w:rsidR="006C5278">
        <w:rPr>
          <w:rFonts w:cs="Arial"/>
        </w:rPr>
        <w:t xml:space="preserve">more stringent </w:t>
      </w:r>
      <w:r w:rsidR="00617FD4">
        <w:rPr>
          <w:rFonts w:cs="Arial"/>
        </w:rPr>
        <w:t xml:space="preserve">emissions limits and requirements </w:t>
      </w:r>
      <w:r>
        <w:rPr>
          <w:rFonts w:cs="Arial"/>
        </w:rPr>
        <w:t xml:space="preserve">for </w:t>
      </w:r>
      <w:r w:rsidR="00617FD4">
        <w:rPr>
          <w:rFonts w:cs="Arial"/>
        </w:rPr>
        <w:t xml:space="preserve">various types of sources in </w:t>
      </w:r>
      <w:r w:rsidR="0095008E">
        <w:rPr>
          <w:rFonts w:cs="Arial"/>
        </w:rPr>
        <w:t xml:space="preserve">specific counties in and around </w:t>
      </w:r>
      <w:r w:rsidR="00617FD4">
        <w:rPr>
          <w:rFonts w:cs="Arial"/>
        </w:rPr>
        <w:t>Atlanta area</w:t>
      </w:r>
      <w:r w:rsidR="00601EF0">
        <w:rPr>
          <w:rFonts w:cs="Arial"/>
        </w:rPr>
        <w:t xml:space="preserve">. For </w:t>
      </w:r>
      <w:r>
        <w:rPr>
          <w:rFonts w:cs="Arial"/>
        </w:rPr>
        <w:t>electric generating units</w:t>
      </w:r>
      <w:r w:rsidR="006C5278">
        <w:rPr>
          <w:rFonts w:cs="Arial"/>
        </w:rPr>
        <w:t xml:space="preserve">, </w:t>
      </w:r>
      <w:r w:rsidR="001247B9">
        <w:rPr>
          <w:rFonts w:cs="Arial"/>
        </w:rPr>
        <w:t xml:space="preserve">affected sources include </w:t>
      </w:r>
      <w:r w:rsidR="00617FD4">
        <w:rPr>
          <w:rFonts w:cs="Arial"/>
        </w:rPr>
        <w:t xml:space="preserve">stationary engines, </w:t>
      </w:r>
      <w:r w:rsidR="00224AE0">
        <w:rPr>
          <w:rFonts w:cs="Arial"/>
        </w:rPr>
        <w:t xml:space="preserve">combustion turbines, and coal-fired </w:t>
      </w:r>
      <w:r w:rsidR="00CA0D69">
        <w:rPr>
          <w:rFonts w:cs="Arial"/>
        </w:rPr>
        <w:t>boilers</w:t>
      </w:r>
      <w:r w:rsidR="00224AE0">
        <w:rPr>
          <w:rFonts w:cs="Arial"/>
        </w:rPr>
        <w:t xml:space="preserve">. </w:t>
      </w:r>
      <w:r w:rsidR="00AA154A">
        <w:rPr>
          <w:rFonts w:cs="Arial"/>
        </w:rPr>
        <w:t>F</w:t>
      </w:r>
      <w:r>
        <w:rPr>
          <w:rFonts w:cs="Arial"/>
        </w:rPr>
        <w:t xml:space="preserve">or </w:t>
      </w:r>
      <w:r w:rsidR="008B75AD">
        <w:rPr>
          <w:rFonts w:cs="Arial"/>
        </w:rPr>
        <w:t>example</w:t>
      </w:r>
      <w:r w:rsidR="00AA154A">
        <w:rPr>
          <w:rFonts w:cs="Arial"/>
        </w:rPr>
        <w:t>,</w:t>
      </w:r>
      <w:r>
        <w:rPr>
          <w:rFonts w:cs="Arial"/>
        </w:rPr>
        <w:t xml:space="preserve"> </w:t>
      </w:r>
      <w:r>
        <w:t xml:space="preserve">Georgia Rule 391-3-1-.02(2)(jjj) (“Rule (jjj)”), </w:t>
      </w:r>
      <w:r w:rsidR="0030756B" w:rsidRPr="002371F0">
        <w:t>NO</w:t>
      </w:r>
      <w:r w:rsidR="0030756B">
        <w:t>x</w:t>
      </w:r>
      <w:r w:rsidR="0030756B" w:rsidRPr="002371F0">
        <w:t xml:space="preserve"> </w:t>
      </w:r>
      <w:r w:rsidRPr="002371F0">
        <w:t>Emissions from Electric Utility Steam Generating Units</w:t>
      </w:r>
      <w:r w:rsidR="00A55693">
        <w:t xml:space="preserve"> </w:t>
      </w:r>
      <w:r>
        <w:t xml:space="preserve">required the installation of low NOx combustion technology at </w:t>
      </w:r>
      <w:r w:rsidR="00163170">
        <w:t xml:space="preserve">various </w:t>
      </w:r>
      <w:r>
        <w:t xml:space="preserve">coal-fired units and </w:t>
      </w:r>
      <w:r w:rsidR="005361EA">
        <w:t>selective catalytic reduction (“</w:t>
      </w:r>
      <w:r>
        <w:t>SCR</w:t>
      </w:r>
      <w:r w:rsidR="005361EA">
        <w:t>”) system</w:t>
      </w:r>
      <w:r>
        <w:t>s at select coal-fired units at Plants Bowen, Hammond, and Wansley in the early 2000s.</w:t>
      </w:r>
    </w:p>
    <w:p w14:paraId="1295949A" w14:textId="75271155" w:rsidR="004B705C" w:rsidRPr="005A0BEF" w:rsidRDefault="00CA448C" w:rsidP="005A0BEF">
      <w:pPr>
        <w:spacing w:before="120" w:after="0" w:line="240" w:lineRule="auto"/>
        <w:rPr>
          <w:rFonts w:cs="Arial"/>
        </w:rPr>
      </w:pPr>
      <w:r>
        <w:rPr>
          <w:rFonts w:cs="Arial"/>
        </w:rPr>
        <w:t>For the current 2015 standard, a</w:t>
      </w:r>
      <w:r w:rsidRPr="172F7B2B">
        <w:rPr>
          <w:rFonts w:cs="Arial"/>
        </w:rPr>
        <w:t xml:space="preserve">ll areas in Alabama </w:t>
      </w:r>
      <w:r w:rsidRPr="00E12286">
        <w:rPr>
          <w:rFonts w:cs="Arial"/>
        </w:rPr>
        <w:t xml:space="preserve">and Georgia, except the Atlanta area, </w:t>
      </w:r>
      <w:r>
        <w:rPr>
          <w:rFonts w:cs="Arial"/>
        </w:rPr>
        <w:t>we</w:t>
      </w:r>
      <w:r w:rsidRPr="00E12286">
        <w:rPr>
          <w:rFonts w:cs="Arial"/>
        </w:rPr>
        <w:t xml:space="preserve">re designated as in attainment with the current standards. </w:t>
      </w:r>
      <w:r w:rsidR="006D7629">
        <w:rPr>
          <w:rFonts w:cs="Arial"/>
        </w:rPr>
        <w:t>The Atlanta area subsequently met the standards in 2020</w:t>
      </w:r>
      <w:r w:rsidR="00AB1644">
        <w:rPr>
          <w:rFonts w:cs="Arial"/>
        </w:rPr>
        <w:t>,</w:t>
      </w:r>
      <w:r w:rsidR="006D7629">
        <w:rPr>
          <w:rFonts w:cs="Arial"/>
        </w:rPr>
        <w:t xml:space="preserve"> and EPA finalized the official redesignation of Atlanta to attainment with the 2015 ozone standard in October 2022, bringing the entire state of Georgia into attainment with all air quality standards. </w:t>
      </w:r>
      <w:r>
        <w:rPr>
          <w:rFonts w:cs="Arial"/>
        </w:rPr>
        <w:t xml:space="preserve">In the meantime, in response to </w:t>
      </w:r>
      <w:r w:rsidRPr="65507565">
        <w:rPr>
          <w:rFonts w:cs="Arial"/>
        </w:rPr>
        <w:t xml:space="preserve">President </w:t>
      </w:r>
      <w:r w:rsidRPr="1492DB28">
        <w:rPr>
          <w:rFonts w:cs="Arial"/>
        </w:rPr>
        <w:t>Biden’s</w:t>
      </w:r>
      <w:r w:rsidRPr="65507565">
        <w:rPr>
          <w:rFonts w:cs="Arial"/>
        </w:rPr>
        <w:t xml:space="preserve"> EO</w:t>
      </w:r>
      <w:r>
        <w:rPr>
          <w:rFonts w:cs="Arial"/>
        </w:rPr>
        <w:t xml:space="preserve"> 13990 in 2021 requiring the review of regulations finalized during the previous Administration</w:t>
      </w:r>
      <w:r w:rsidRPr="65507565">
        <w:rPr>
          <w:rFonts w:cs="Arial"/>
        </w:rPr>
        <w:t xml:space="preserve">, </w:t>
      </w:r>
      <w:r w:rsidRPr="5EFA5C3E">
        <w:rPr>
          <w:rFonts w:cs="Arial"/>
        </w:rPr>
        <w:t xml:space="preserve">EPA </w:t>
      </w:r>
      <w:r>
        <w:rPr>
          <w:rFonts w:cs="Arial"/>
        </w:rPr>
        <w:t>has been in the process of reconsidering the 2020 decision to retain the ozone standard</w:t>
      </w:r>
      <w:r w:rsidR="000050B5">
        <w:rPr>
          <w:rFonts w:cs="Arial"/>
        </w:rPr>
        <w:t xml:space="preserve">, but </w:t>
      </w:r>
      <w:r w:rsidR="005A0BEF">
        <w:rPr>
          <w:rFonts w:cs="Arial"/>
        </w:rPr>
        <w:t>in 2022</w:t>
      </w:r>
      <w:r w:rsidR="000A5A49">
        <w:rPr>
          <w:rFonts w:cs="Arial"/>
        </w:rPr>
        <w:t>,</w:t>
      </w:r>
      <w:r w:rsidR="005A0BEF">
        <w:rPr>
          <w:rFonts w:cs="Arial"/>
        </w:rPr>
        <w:t xml:space="preserve"> the </w:t>
      </w:r>
      <w:r w:rsidR="000050B5">
        <w:rPr>
          <w:rFonts w:cs="Arial"/>
        </w:rPr>
        <w:t>EPA staff and the C</w:t>
      </w:r>
      <w:r w:rsidR="000050B5" w:rsidRPr="00F53D92">
        <w:rPr>
          <w:rFonts w:cs="Arial"/>
        </w:rPr>
        <w:t>lean Air Scientific Advisory Committee (</w:t>
      </w:r>
      <w:r w:rsidR="000050B5">
        <w:rPr>
          <w:rFonts w:cs="Arial"/>
        </w:rPr>
        <w:t>“</w:t>
      </w:r>
      <w:r w:rsidR="000050B5" w:rsidRPr="00F53D92">
        <w:rPr>
          <w:rFonts w:cs="Arial"/>
        </w:rPr>
        <w:t>CASAC</w:t>
      </w:r>
      <w:r w:rsidR="000050B5">
        <w:rPr>
          <w:rFonts w:cs="Arial"/>
        </w:rPr>
        <w:t>”</w:t>
      </w:r>
      <w:r w:rsidR="000050B5" w:rsidRPr="00F53D92">
        <w:rPr>
          <w:rFonts w:cs="Arial"/>
        </w:rPr>
        <w:t xml:space="preserve">) Ozone Review Panel </w:t>
      </w:r>
      <w:r w:rsidR="000050B5">
        <w:rPr>
          <w:rFonts w:cs="Arial"/>
        </w:rPr>
        <w:t xml:space="preserve">released conflicting recommendations on the review of the ozone standard, with </w:t>
      </w:r>
      <w:r w:rsidR="000050B5" w:rsidRPr="00C425B0">
        <w:rPr>
          <w:rFonts w:cs="Arial"/>
        </w:rPr>
        <w:t>EPA staff recommend</w:t>
      </w:r>
      <w:r w:rsidR="000050B5">
        <w:rPr>
          <w:rFonts w:cs="Arial"/>
        </w:rPr>
        <w:t>ing</w:t>
      </w:r>
      <w:r w:rsidR="000050B5" w:rsidRPr="00C425B0">
        <w:rPr>
          <w:rFonts w:cs="Arial"/>
        </w:rPr>
        <w:t xml:space="preserve"> not reopening the 2020 ozone review</w:t>
      </w:r>
      <w:r w:rsidR="000050B5">
        <w:rPr>
          <w:rFonts w:cs="Arial"/>
        </w:rPr>
        <w:t>, while CASAC supported the reconsideration</w:t>
      </w:r>
      <w:r>
        <w:rPr>
          <w:rFonts w:cs="Arial"/>
        </w:rPr>
        <w:t>.</w:t>
      </w:r>
    </w:p>
    <w:p w14:paraId="07D689E3" w14:textId="1DB0B673" w:rsidR="00CA448C" w:rsidRPr="00232354" w:rsidRDefault="00CA448C" w:rsidP="00CA448C">
      <w:pPr>
        <w:spacing w:before="120" w:after="0" w:line="240" w:lineRule="auto"/>
        <w:rPr>
          <w:rFonts w:cs="Arial"/>
          <w:b/>
          <w:bCs/>
          <w:szCs w:val="24"/>
        </w:rPr>
      </w:pPr>
      <w:r>
        <w:rPr>
          <w:rFonts w:cs="Arial"/>
          <w:b/>
          <w:bCs/>
          <w:szCs w:val="24"/>
        </w:rPr>
        <w:t xml:space="preserve">New </w:t>
      </w:r>
      <w:r w:rsidRPr="00232354">
        <w:rPr>
          <w:rFonts w:cs="Arial"/>
          <w:b/>
          <w:bCs/>
          <w:szCs w:val="24"/>
        </w:rPr>
        <w:t>Regulatory Updates</w:t>
      </w:r>
    </w:p>
    <w:p w14:paraId="25FCA367" w14:textId="27F9807B" w:rsidR="005A0BEF" w:rsidRPr="005A0BEF" w:rsidRDefault="00BB0E10" w:rsidP="000223D4">
      <w:pPr>
        <w:pStyle w:val="ListParagraph"/>
        <w:numPr>
          <w:ilvl w:val="0"/>
          <w:numId w:val="3"/>
        </w:numPr>
        <w:spacing w:after="0"/>
        <w:rPr>
          <w:rFonts w:cs="Arial"/>
        </w:rPr>
      </w:pPr>
      <w:r>
        <w:rPr>
          <w:rFonts w:asciiTheme="minorHAnsi" w:eastAsiaTheme="minorEastAsia" w:hAnsiTheme="minorHAnsi" w:cs="Arial"/>
          <w:sz w:val="22"/>
        </w:rPr>
        <w:t xml:space="preserve">On May 23, 2023, </w:t>
      </w:r>
      <w:r w:rsidR="005A0BEF" w:rsidRPr="005A0BEF">
        <w:rPr>
          <w:rFonts w:asciiTheme="minorHAnsi" w:eastAsiaTheme="minorEastAsia" w:hAnsiTheme="minorHAnsi" w:cs="Arial"/>
          <w:sz w:val="22"/>
        </w:rPr>
        <w:t xml:space="preserve">Georgia EPD </w:t>
      </w:r>
      <w:r>
        <w:rPr>
          <w:rFonts w:asciiTheme="minorHAnsi" w:eastAsiaTheme="minorEastAsia" w:hAnsiTheme="minorHAnsi" w:cs="Arial"/>
          <w:sz w:val="22"/>
        </w:rPr>
        <w:t xml:space="preserve">finalized </w:t>
      </w:r>
      <w:r w:rsidR="005A0BEF" w:rsidRPr="005A0BEF">
        <w:rPr>
          <w:rFonts w:asciiTheme="minorHAnsi" w:eastAsiaTheme="minorEastAsia" w:hAnsiTheme="minorHAnsi" w:cs="Arial"/>
          <w:sz w:val="22"/>
        </w:rPr>
        <w:t>revisions to the Georgia rules to remove certain requirements for air permitting in the former nonattainment area</w:t>
      </w:r>
      <w:r w:rsidR="00E41ECB">
        <w:rPr>
          <w:rFonts w:asciiTheme="minorHAnsi" w:eastAsiaTheme="minorEastAsia" w:hAnsiTheme="minorHAnsi" w:cs="Arial"/>
          <w:sz w:val="22"/>
        </w:rPr>
        <w:t xml:space="preserve"> </w:t>
      </w:r>
      <w:proofErr w:type="gramStart"/>
      <w:r w:rsidR="00E41ECB">
        <w:rPr>
          <w:rFonts w:asciiTheme="minorHAnsi" w:eastAsiaTheme="minorEastAsia" w:hAnsiTheme="minorHAnsi" w:cs="Arial"/>
          <w:sz w:val="22"/>
        </w:rPr>
        <w:t>in order to</w:t>
      </w:r>
      <w:proofErr w:type="gramEnd"/>
      <w:r w:rsidR="00E41ECB">
        <w:rPr>
          <w:rFonts w:asciiTheme="minorHAnsi" w:eastAsiaTheme="minorEastAsia" w:hAnsiTheme="minorHAnsi" w:cs="Arial"/>
          <w:sz w:val="22"/>
        </w:rPr>
        <w:t xml:space="preserve"> </w:t>
      </w:r>
      <w:r w:rsidR="005A0BEF" w:rsidRPr="005A0BEF">
        <w:rPr>
          <w:rFonts w:asciiTheme="minorHAnsi" w:eastAsiaTheme="minorEastAsia" w:hAnsiTheme="minorHAnsi" w:cs="Arial"/>
          <w:sz w:val="22"/>
        </w:rPr>
        <w:t>streamline permitting for new projects.</w:t>
      </w:r>
    </w:p>
    <w:p w14:paraId="44627360" w14:textId="7CB22FDF" w:rsidR="003007AB" w:rsidRPr="00BE069E" w:rsidRDefault="003007AB" w:rsidP="00BE069E">
      <w:pPr>
        <w:pStyle w:val="ListParagraph"/>
        <w:numPr>
          <w:ilvl w:val="0"/>
          <w:numId w:val="3"/>
        </w:numPr>
        <w:spacing w:before="120" w:after="0"/>
        <w:rPr>
          <w:rFonts w:asciiTheme="minorHAnsi" w:eastAsiaTheme="minorEastAsia" w:hAnsiTheme="minorHAnsi" w:cs="Arial"/>
          <w:sz w:val="22"/>
        </w:rPr>
      </w:pPr>
      <w:r w:rsidRPr="007F4521">
        <w:rPr>
          <w:rFonts w:asciiTheme="minorHAnsi" w:eastAsiaTheme="minorEastAsia" w:hAnsiTheme="minorHAnsi" w:cs="Arial"/>
          <w:sz w:val="22"/>
        </w:rPr>
        <w:t xml:space="preserve">On August 18, 2023, </w:t>
      </w:r>
      <w:r w:rsidR="00E337B3">
        <w:rPr>
          <w:rFonts w:asciiTheme="minorHAnsi" w:eastAsiaTheme="minorEastAsia" w:hAnsiTheme="minorHAnsi" w:cs="Arial"/>
          <w:sz w:val="22"/>
        </w:rPr>
        <w:t xml:space="preserve">following additional </w:t>
      </w:r>
      <w:r w:rsidR="00A67396">
        <w:rPr>
          <w:rFonts w:asciiTheme="minorHAnsi" w:eastAsiaTheme="minorEastAsia" w:hAnsiTheme="minorHAnsi" w:cs="Arial"/>
          <w:sz w:val="22"/>
        </w:rPr>
        <w:t xml:space="preserve">assessments </w:t>
      </w:r>
      <w:r w:rsidR="00074AEE">
        <w:rPr>
          <w:rFonts w:asciiTheme="minorHAnsi" w:eastAsiaTheme="minorEastAsia" w:hAnsiTheme="minorHAnsi" w:cs="Arial"/>
          <w:sz w:val="22"/>
        </w:rPr>
        <w:t xml:space="preserve">from both EPA staff and CASAC, </w:t>
      </w:r>
      <w:r w:rsidRPr="007F4521">
        <w:rPr>
          <w:rFonts w:asciiTheme="minorHAnsi" w:eastAsiaTheme="minorEastAsia" w:hAnsiTheme="minorHAnsi" w:cs="Arial"/>
          <w:sz w:val="22"/>
        </w:rPr>
        <w:t xml:space="preserve">the EPA Administrator published a letter </w:t>
      </w:r>
      <w:r w:rsidR="00A67396">
        <w:rPr>
          <w:rFonts w:asciiTheme="minorHAnsi" w:eastAsiaTheme="minorEastAsia" w:hAnsiTheme="minorHAnsi" w:cs="Arial"/>
          <w:sz w:val="22"/>
        </w:rPr>
        <w:t xml:space="preserve">that </w:t>
      </w:r>
      <w:r w:rsidRPr="007F4521">
        <w:rPr>
          <w:rFonts w:asciiTheme="minorHAnsi" w:eastAsiaTheme="minorEastAsia" w:hAnsiTheme="minorHAnsi" w:cs="Arial"/>
          <w:sz w:val="22"/>
        </w:rPr>
        <w:t xml:space="preserve">indicated that EPA would stop the reconsideration of the 2020 ozone NAAQS and will </w:t>
      </w:r>
      <w:r w:rsidR="00A67396">
        <w:rPr>
          <w:rFonts w:asciiTheme="minorHAnsi" w:eastAsiaTheme="minorEastAsia" w:hAnsiTheme="minorHAnsi" w:cs="Arial"/>
          <w:sz w:val="22"/>
        </w:rPr>
        <w:t xml:space="preserve">instead </w:t>
      </w:r>
      <w:r w:rsidRPr="007F4521">
        <w:rPr>
          <w:rFonts w:asciiTheme="minorHAnsi" w:eastAsiaTheme="minorEastAsia" w:hAnsiTheme="minorHAnsi" w:cs="Arial"/>
          <w:sz w:val="22"/>
        </w:rPr>
        <w:t>begin its next statutory review of the ozone NAAQS.</w:t>
      </w:r>
    </w:p>
    <w:p w14:paraId="3B51F332" w14:textId="77777777" w:rsidR="00CA448C" w:rsidRPr="00F567E5" w:rsidRDefault="00CA448C" w:rsidP="00CA448C">
      <w:pPr>
        <w:pStyle w:val="Heading4"/>
        <w:spacing w:before="120" w:line="240" w:lineRule="auto"/>
        <w:rPr>
          <w:b/>
          <w:bCs/>
        </w:rPr>
      </w:pPr>
      <w:r w:rsidRPr="00F567E5">
        <w:rPr>
          <w:b/>
          <w:bCs/>
        </w:rPr>
        <w:lastRenderedPageBreak/>
        <w:t>Particulate Matter (40 CFR 50.13)</w:t>
      </w:r>
    </w:p>
    <w:p w14:paraId="51EB9736" w14:textId="264E5A5D" w:rsidR="00CA448C" w:rsidRDefault="00CA448C" w:rsidP="00CA448C">
      <w:pPr>
        <w:spacing w:before="120" w:after="0" w:line="240" w:lineRule="auto"/>
      </w:pPr>
      <w:r>
        <w:t>While n</w:t>
      </w:r>
      <w:r w:rsidRPr="00C425B0">
        <w:t>ational air</w:t>
      </w:r>
      <w:r w:rsidR="00282F0F">
        <w:t xml:space="preserve"> </w:t>
      </w:r>
      <w:r w:rsidRPr="00C425B0">
        <w:t>quality standards for PM were first established in 1971</w:t>
      </w:r>
      <w:r>
        <w:t xml:space="preserve">, </w:t>
      </w:r>
      <w:r w:rsidRPr="16982F57">
        <w:t xml:space="preserve">EPA </w:t>
      </w:r>
      <w:r>
        <w:t xml:space="preserve">shifted its focus and </w:t>
      </w:r>
      <w:r w:rsidRPr="16982F57">
        <w:t>revised the PM NAAQS to add fine particulate matter, i.e., PM</w:t>
      </w:r>
      <w:r w:rsidRPr="16982F57">
        <w:rPr>
          <w:vertAlign w:val="subscript"/>
        </w:rPr>
        <w:t>2.5</w:t>
      </w:r>
      <w:r>
        <w:t>,</w:t>
      </w:r>
      <w:r w:rsidRPr="16982F57">
        <w:t xml:space="preserve"> </w:t>
      </w:r>
      <w:r>
        <w:t>in 1997, focusing on particles of a smaller size</w:t>
      </w:r>
      <w:r w:rsidRPr="16982F57">
        <w:t>. The first PM</w:t>
      </w:r>
      <w:r w:rsidRPr="16982F57">
        <w:rPr>
          <w:vertAlign w:val="subscript"/>
        </w:rPr>
        <w:t>2.5</w:t>
      </w:r>
      <w:r w:rsidRPr="16982F57">
        <w:t xml:space="preserve"> standards were set at a level of 15 micrograms per cubic meter (</w:t>
      </w:r>
      <w:r w:rsidR="008D337B">
        <w:t>“</w:t>
      </w:r>
      <w:r w:rsidRPr="16982F57">
        <w:t>µg/m</w:t>
      </w:r>
      <w:r w:rsidRPr="16982F57">
        <w:rPr>
          <w:vertAlign w:val="superscript"/>
        </w:rPr>
        <w:t>3</w:t>
      </w:r>
      <w:r w:rsidR="008D337B">
        <w:t>”)</w:t>
      </w:r>
      <w:r w:rsidRPr="16982F57">
        <w:t xml:space="preserve"> on an annual average and 65 µg/m</w:t>
      </w:r>
      <w:r w:rsidRPr="16982F57">
        <w:rPr>
          <w:vertAlign w:val="superscript"/>
        </w:rPr>
        <w:t>3</w:t>
      </w:r>
      <w:r w:rsidRPr="16982F57">
        <w:t xml:space="preserve"> on a 24-hour average. In September 2006, EPA retained the annual standard but lowered the 24-hour standard from 65 µg/m</w:t>
      </w:r>
      <w:r w:rsidRPr="16982F57">
        <w:rPr>
          <w:vertAlign w:val="superscript"/>
        </w:rPr>
        <w:t>3</w:t>
      </w:r>
      <w:r w:rsidRPr="16982F57">
        <w:t xml:space="preserve"> to 35 µg/m</w:t>
      </w:r>
      <w:r w:rsidRPr="16982F57">
        <w:rPr>
          <w:vertAlign w:val="superscript"/>
        </w:rPr>
        <w:t>3</w:t>
      </w:r>
      <w:r w:rsidRPr="16982F57">
        <w:t xml:space="preserve">. </w:t>
      </w:r>
      <w:r w:rsidRPr="00DB7156">
        <w:t xml:space="preserve">In December 2012, EPA lowered the annual standard </w:t>
      </w:r>
      <w:r>
        <w:t>for PM</w:t>
      </w:r>
      <w:r w:rsidRPr="00690F00">
        <w:rPr>
          <w:vertAlign w:val="subscript"/>
        </w:rPr>
        <w:t>2.5</w:t>
      </w:r>
      <w:r>
        <w:t xml:space="preserve"> </w:t>
      </w:r>
      <w:r w:rsidRPr="00DB7156">
        <w:t>to 12 µg/m</w:t>
      </w:r>
      <w:r w:rsidRPr="00DB7156">
        <w:rPr>
          <w:vertAlign w:val="superscript"/>
        </w:rPr>
        <w:t>3</w:t>
      </w:r>
      <w:r w:rsidRPr="00DB7156">
        <w:t>.</w:t>
      </w:r>
      <w:r>
        <w:t xml:space="preserve"> In December 2020,</w:t>
      </w:r>
      <w:r w:rsidRPr="00A726D8">
        <w:t xml:space="preserve"> EPA published a </w:t>
      </w:r>
      <w:r>
        <w:t>final rule</w:t>
      </w:r>
      <w:r w:rsidRPr="00A726D8">
        <w:t xml:space="preserve"> to retain the particulate matter NAAQS</w:t>
      </w:r>
      <w:r>
        <w:t xml:space="preserve"> last updated in 2012</w:t>
      </w:r>
      <w:r w:rsidRPr="00A726D8">
        <w:t xml:space="preserve">, without revision. </w:t>
      </w:r>
      <w:r w:rsidR="00F83204" w:rsidRPr="00505306">
        <w:t>EPA</w:t>
      </w:r>
      <w:r w:rsidR="00F83204">
        <w:t xml:space="preserve"> later</w:t>
      </w:r>
      <w:r w:rsidR="00F83204" w:rsidRPr="00505306">
        <w:t xml:space="preserve"> announced that it </w:t>
      </w:r>
      <w:r w:rsidR="00F83204">
        <w:t xml:space="preserve">would </w:t>
      </w:r>
      <w:r w:rsidR="00F83204" w:rsidRPr="00505306">
        <w:t xml:space="preserve">reconsider the </w:t>
      </w:r>
      <w:r w:rsidR="00F83204">
        <w:t xml:space="preserve">December 2020 </w:t>
      </w:r>
      <w:r w:rsidR="00F83204" w:rsidRPr="00505306">
        <w:t>decision to retain the primary and secondary NAAQS for PM. </w:t>
      </w:r>
    </w:p>
    <w:p w14:paraId="5614DF7D" w14:textId="10B82EFC" w:rsidR="00CA448C" w:rsidRDefault="00CA448C" w:rsidP="00CA448C">
      <w:pPr>
        <w:spacing w:before="120" w:after="0" w:line="240" w:lineRule="auto"/>
      </w:pPr>
      <w:r>
        <w:t xml:space="preserve">While </w:t>
      </w:r>
      <w:r w:rsidRPr="16982F57">
        <w:t xml:space="preserve">Atlanta, Floyd County, Macon, and Chattanooga areas were designated as nonattainment for the </w:t>
      </w:r>
      <w:r>
        <w:t xml:space="preserve">1997 </w:t>
      </w:r>
      <w:r w:rsidRPr="16982F57">
        <w:t>PM</w:t>
      </w:r>
      <w:r w:rsidRPr="16982F57">
        <w:rPr>
          <w:vertAlign w:val="subscript"/>
        </w:rPr>
        <w:t xml:space="preserve">2.5 </w:t>
      </w:r>
      <w:r w:rsidRPr="16982F57">
        <w:t>annual standard</w:t>
      </w:r>
      <w:r w:rsidR="00414A8F">
        <w:t>, a</w:t>
      </w:r>
      <w:r w:rsidRPr="00DB7156">
        <w:t xml:space="preserve">ll areas in Georgia have since been redesignated to attainment </w:t>
      </w:r>
      <w:r>
        <w:t>for</w:t>
      </w:r>
      <w:r w:rsidRPr="00DB7156">
        <w:t xml:space="preserve"> the </w:t>
      </w:r>
      <w:r w:rsidRPr="16982F57">
        <w:t>1997 PM</w:t>
      </w:r>
      <w:r w:rsidRPr="16982F57">
        <w:rPr>
          <w:vertAlign w:val="subscript"/>
        </w:rPr>
        <w:t>2.5</w:t>
      </w:r>
      <w:r w:rsidRPr="16982F57">
        <w:t xml:space="preserve"> annual standard</w:t>
      </w:r>
      <w:r>
        <w:t xml:space="preserve"> </w:t>
      </w:r>
      <w:proofErr w:type="gramStart"/>
      <w:r>
        <w:t>and also</w:t>
      </w:r>
      <w:proofErr w:type="gramEnd"/>
      <w:r>
        <w:t xml:space="preserve"> met </w:t>
      </w:r>
      <w:r w:rsidR="00F83204">
        <w:t xml:space="preserve">the 2006 and 2012 revised </w:t>
      </w:r>
      <w:r>
        <w:t>PM standard</w:t>
      </w:r>
      <w:r w:rsidR="00076F94">
        <w:t>s</w:t>
      </w:r>
      <w:r w:rsidRPr="00DB7156">
        <w:t xml:space="preserve">. </w:t>
      </w:r>
    </w:p>
    <w:p w14:paraId="79CE9553" w14:textId="2A7C364A" w:rsidR="00CA448C" w:rsidRDefault="00CA448C" w:rsidP="00CA448C">
      <w:pPr>
        <w:spacing w:before="120" w:after="0" w:line="240" w:lineRule="auto"/>
        <w:rPr>
          <w:rFonts w:cs="Arial"/>
          <w:b/>
          <w:bCs/>
          <w:szCs w:val="24"/>
        </w:rPr>
      </w:pPr>
      <w:r>
        <w:rPr>
          <w:rFonts w:cs="Arial"/>
          <w:b/>
          <w:bCs/>
          <w:szCs w:val="24"/>
        </w:rPr>
        <w:t>New Regulatory</w:t>
      </w:r>
      <w:r w:rsidRPr="00232354">
        <w:rPr>
          <w:rFonts w:cs="Arial"/>
          <w:b/>
          <w:bCs/>
          <w:szCs w:val="24"/>
        </w:rPr>
        <w:t xml:space="preserve"> Updates</w:t>
      </w:r>
    </w:p>
    <w:p w14:paraId="5A6A4683" w14:textId="5DD81CE4" w:rsidR="0031676E" w:rsidRDefault="0031676E" w:rsidP="000014EE">
      <w:pPr>
        <w:pStyle w:val="ListParagraph"/>
        <w:numPr>
          <w:ilvl w:val="0"/>
          <w:numId w:val="14"/>
        </w:numPr>
        <w:spacing w:after="0"/>
        <w:rPr>
          <w:rFonts w:asciiTheme="minorHAnsi" w:eastAsiaTheme="minorEastAsia" w:hAnsiTheme="minorHAnsi"/>
          <w:sz w:val="22"/>
        </w:rPr>
      </w:pPr>
      <w:r w:rsidRPr="00C425B0">
        <w:rPr>
          <w:rFonts w:asciiTheme="minorHAnsi" w:eastAsiaTheme="minorEastAsia" w:hAnsiTheme="minorHAnsi"/>
          <w:sz w:val="22"/>
        </w:rPr>
        <w:t>On January 6, 2023, EPA released a proposal that would revise the level of the primary annual PM2.5 standard from 12.0 μg/m</w:t>
      </w:r>
      <w:r w:rsidRPr="008D337B">
        <w:rPr>
          <w:rFonts w:asciiTheme="minorHAnsi" w:eastAsiaTheme="minorEastAsia" w:hAnsiTheme="minorHAnsi"/>
          <w:sz w:val="22"/>
          <w:vertAlign w:val="superscript"/>
        </w:rPr>
        <w:t>3</w:t>
      </w:r>
      <w:r w:rsidRPr="00C425B0">
        <w:rPr>
          <w:rFonts w:asciiTheme="minorHAnsi" w:eastAsiaTheme="minorEastAsia" w:hAnsiTheme="minorHAnsi"/>
          <w:sz w:val="22"/>
        </w:rPr>
        <w:t xml:space="preserve"> to a level within the range of 9.0 to 10.0 μg/m</w:t>
      </w:r>
      <w:r w:rsidRPr="008D337B">
        <w:rPr>
          <w:rFonts w:asciiTheme="minorHAnsi" w:eastAsiaTheme="minorEastAsia" w:hAnsiTheme="minorHAnsi"/>
          <w:sz w:val="22"/>
          <w:vertAlign w:val="superscript"/>
        </w:rPr>
        <w:t>3</w:t>
      </w:r>
      <w:r w:rsidRPr="00C425B0">
        <w:rPr>
          <w:rFonts w:asciiTheme="minorHAnsi" w:eastAsiaTheme="minorEastAsia" w:hAnsiTheme="minorHAnsi"/>
          <w:sz w:val="22"/>
        </w:rPr>
        <w:t xml:space="preserve"> while taking comments on a range between 8.0 and 11.0 μg/m</w:t>
      </w:r>
      <w:r w:rsidRPr="008D337B">
        <w:rPr>
          <w:rFonts w:asciiTheme="minorHAnsi" w:eastAsiaTheme="minorEastAsia" w:hAnsiTheme="minorHAnsi"/>
          <w:sz w:val="22"/>
          <w:vertAlign w:val="superscript"/>
        </w:rPr>
        <w:t>3</w:t>
      </w:r>
      <w:r w:rsidR="00F83204">
        <w:rPr>
          <w:rFonts w:asciiTheme="minorHAnsi" w:eastAsiaTheme="minorEastAsia" w:hAnsiTheme="minorHAnsi"/>
          <w:sz w:val="22"/>
        </w:rPr>
        <w:t>. EPA proposed</w:t>
      </w:r>
      <w:r w:rsidRPr="00C425B0">
        <w:rPr>
          <w:rFonts w:asciiTheme="minorHAnsi" w:eastAsiaTheme="minorEastAsia" w:hAnsiTheme="minorHAnsi"/>
          <w:sz w:val="22"/>
        </w:rPr>
        <w:t xml:space="preserve"> to retain the current 24-hour PM2.5 primary standard </w:t>
      </w:r>
      <w:r>
        <w:rPr>
          <w:rFonts w:asciiTheme="minorHAnsi" w:eastAsiaTheme="minorEastAsia" w:hAnsiTheme="minorHAnsi"/>
          <w:sz w:val="22"/>
        </w:rPr>
        <w:t xml:space="preserve">at </w:t>
      </w:r>
      <w:r w:rsidRPr="00C425B0">
        <w:rPr>
          <w:rFonts w:asciiTheme="minorHAnsi" w:eastAsiaTheme="minorEastAsia" w:hAnsiTheme="minorHAnsi"/>
          <w:sz w:val="22"/>
        </w:rPr>
        <w:t>35.0 μg/m</w:t>
      </w:r>
      <w:r w:rsidRPr="008D337B">
        <w:rPr>
          <w:rFonts w:asciiTheme="minorHAnsi" w:eastAsiaTheme="minorEastAsia" w:hAnsiTheme="minorHAnsi"/>
          <w:sz w:val="22"/>
          <w:vertAlign w:val="superscript"/>
        </w:rPr>
        <w:t>3</w:t>
      </w:r>
      <w:r w:rsidRPr="00C425B0">
        <w:rPr>
          <w:rFonts w:asciiTheme="minorHAnsi" w:eastAsiaTheme="minorEastAsia" w:hAnsiTheme="minorHAnsi"/>
          <w:sz w:val="22"/>
        </w:rPr>
        <w:t xml:space="preserve"> but t</w:t>
      </w:r>
      <w:r w:rsidR="00F83204">
        <w:rPr>
          <w:rFonts w:asciiTheme="minorHAnsi" w:eastAsiaTheme="minorEastAsia" w:hAnsiTheme="minorHAnsi"/>
          <w:sz w:val="22"/>
        </w:rPr>
        <w:t>ook</w:t>
      </w:r>
      <w:r w:rsidRPr="00C425B0">
        <w:rPr>
          <w:rFonts w:asciiTheme="minorHAnsi" w:eastAsiaTheme="minorEastAsia" w:hAnsiTheme="minorHAnsi"/>
          <w:sz w:val="22"/>
        </w:rPr>
        <w:t xml:space="preserve"> comment on lowering the standard to a level as low as 25.0 μg/m</w:t>
      </w:r>
      <w:r w:rsidRPr="008D337B">
        <w:rPr>
          <w:rFonts w:asciiTheme="minorHAnsi" w:eastAsiaTheme="minorEastAsia" w:hAnsiTheme="minorHAnsi"/>
          <w:sz w:val="22"/>
          <w:vertAlign w:val="superscript"/>
        </w:rPr>
        <w:t>3</w:t>
      </w:r>
      <w:r w:rsidRPr="00C425B0">
        <w:rPr>
          <w:rFonts w:asciiTheme="minorHAnsi" w:eastAsiaTheme="minorEastAsia" w:hAnsiTheme="minorHAnsi"/>
          <w:sz w:val="22"/>
        </w:rPr>
        <w:t xml:space="preserve">; to retain the current primary 24-hour PM10 standard and all current secondary (welfare-based) standards for both PM2.5 and PM10. </w:t>
      </w:r>
    </w:p>
    <w:p w14:paraId="1A4ADCD1" w14:textId="3AE78D98" w:rsidR="00CA448C" w:rsidRPr="00427D41" w:rsidRDefault="006E1ED4" w:rsidP="000A253B">
      <w:pPr>
        <w:pStyle w:val="ListParagraph"/>
        <w:numPr>
          <w:ilvl w:val="0"/>
          <w:numId w:val="14"/>
        </w:numPr>
        <w:spacing w:before="120" w:after="0"/>
        <w:rPr>
          <w:rFonts w:cs="Arial"/>
          <w:b/>
          <w:bCs/>
          <w:szCs w:val="24"/>
        </w:rPr>
      </w:pPr>
      <w:r>
        <w:rPr>
          <w:rFonts w:asciiTheme="minorHAnsi" w:eastAsiaTheme="minorEastAsia" w:hAnsiTheme="minorHAnsi"/>
          <w:sz w:val="22"/>
        </w:rPr>
        <w:t xml:space="preserve">On </w:t>
      </w:r>
      <w:r w:rsidR="00C23385">
        <w:rPr>
          <w:rFonts w:asciiTheme="minorHAnsi" w:eastAsiaTheme="minorEastAsia" w:hAnsiTheme="minorHAnsi"/>
          <w:sz w:val="22"/>
        </w:rPr>
        <w:t>March 6, 2024</w:t>
      </w:r>
      <w:r>
        <w:rPr>
          <w:rFonts w:asciiTheme="minorHAnsi" w:eastAsiaTheme="minorEastAsia" w:hAnsiTheme="minorHAnsi"/>
          <w:sz w:val="22"/>
        </w:rPr>
        <w:t xml:space="preserve">, EPA </w:t>
      </w:r>
      <w:r w:rsidR="00C23385">
        <w:rPr>
          <w:rFonts w:asciiTheme="minorHAnsi" w:eastAsiaTheme="minorEastAsia" w:hAnsiTheme="minorHAnsi"/>
          <w:sz w:val="22"/>
        </w:rPr>
        <w:t>published the final</w:t>
      </w:r>
      <w:r>
        <w:rPr>
          <w:rFonts w:asciiTheme="minorHAnsi" w:eastAsiaTheme="minorEastAsia" w:hAnsiTheme="minorHAnsi"/>
          <w:sz w:val="22"/>
        </w:rPr>
        <w:t xml:space="preserve"> </w:t>
      </w:r>
      <w:r w:rsidR="0084276A">
        <w:rPr>
          <w:rFonts w:asciiTheme="minorHAnsi" w:eastAsiaTheme="minorEastAsia" w:hAnsiTheme="minorHAnsi"/>
          <w:sz w:val="22"/>
        </w:rPr>
        <w:t xml:space="preserve">primary annual PM2.5 standard at 9.0 </w:t>
      </w:r>
      <w:r w:rsidR="0084276A" w:rsidRPr="00C425B0">
        <w:rPr>
          <w:rFonts w:asciiTheme="minorHAnsi" w:eastAsiaTheme="minorEastAsia" w:hAnsiTheme="minorHAnsi"/>
          <w:sz w:val="22"/>
        </w:rPr>
        <w:t>μg/m</w:t>
      </w:r>
      <w:r w:rsidR="0084276A" w:rsidRPr="008D337B">
        <w:rPr>
          <w:rFonts w:asciiTheme="minorHAnsi" w:eastAsiaTheme="minorEastAsia" w:hAnsiTheme="minorHAnsi"/>
          <w:sz w:val="22"/>
          <w:vertAlign w:val="superscript"/>
        </w:rPr>
        <w:t>3</w:t>
      </w:r>
      <w:r w:rsidR="00143FF7">
        <w:rPr>
          <w:rFonts w:asciiTheme="minorHAnsi" w:eastAsiaTheme="minorEastAsia" w:hAnsiTheme="minorHAnsi"/>
          <w:sz w:val="22"/>
        </w:rPr>
        <w:t>, while retaining the existing level</w:t>
      </w:r>
      <w:r w:rsidR="00C5508D">
        <w:rPr>
          <w:rFonts w:asciiTheme="minorHAnsi" w:eastAsiaTheme="minorEastAsia" w:hAnsiTheme="minorHAnsi"/>
          <w:sz w:val="22"/>
        </w:rPr>
        <w:t>s</w:t>
      </w:r>
      <w:r w:rsidR="00143FF7">
        <w:rPr>
          <w:rFonts w:asciiTheme="minorHAnsi" w:eastAsiaTheme="minorEastAsia" w:hAnsiTheme="minorHAnsi"/>
          <w:sz w:val="22"/>
        </w:rPr>
        <w:t xml:space="preserve"> of all other particulate standards.</w:t>
      </w:r>
      <w:r w:rsidR="00C82F06">
        <w:rPr>
          <w:rFonts w:asciiTheme="minorHAnsi" w:eastAsiaTheme="minorEastAsia" w:hAnsiTheme="minorHAnsi"/>
          <w:sz w:val="22"/>
        </w:rPr>
        <w:t xml:space="preserve"> </w:t>
      </w:r>
      <w:r w:rsidR="00372043">
        <w:rPr>
          <w:rFonts w:asciiTheme="minorHAnsi" w:eastAsiaTheme="minorEastAsia" w:hAnsiTheme="minorHAnsi"/>
          <w:sz w:val="22"/>
        </w:rPr>
        <w:t>EPA is required to designate areas that are not meeting the standard as nonattainment areas within 2 years.</w:t>
      </w:r>
      <w:r w:rsidR="00715F6C">
        <w:rPr>
          <w:rFonts w:asciiTheme="minorHAnsi" w:eastAsiaTheme="minorEastAsia" w:hAnsiTheme="minorHAnsi"/>
          <w:sz w:val="22"/>
        </w:rPr>
        <w:t xml:space="preserve"> EPA is also expected to issue additional rulemaking </w:t>
      </w:r>
      <w:r w:rsidR="006A61A4">
        <w:rPr>
          <w:rFonts w:asciiTheme="minorHAnsi" w:eastAsiaTheme="minorEastAsia" w:hAnsiTheme="minorHAnsi"/>
          <w:sz w:val="22"/>
        </w:rPr>
        <w:t xml:space="preserve">and guidance to states </w:t>
      </w:r>
      <w:r w:rsidR="00715F6C">
        <w:rPr>
          <w:rFonts w:asciiTheme="minorHAnsi" w:eastAsiaTheme="minorEastAsia" w:hAnsiTheme="minorHAnsi"/>
          <w:sz w:val="22"/>
        </w:rPr>
        <w:t xml:space="preserve">related to the implementation </w:t>
      </w:r>
      <w:r w:rsidR="006A61A4">
        <w:rPr>
          <w:rFonts w:asciiTheme="minorHAnsi" w:eastAsiaTheme="minorEastAsia" w:hAnsiTheme="minorHAnsi"/>
          <w:sz w:val="22"/>
        </w:rPr>
        <w:t xml:space="preserve">for requirements </w:t>
      </w:r>
      <w:r w:rsidR="00715F6C">
        <w:rPr>
          <w:rFonts w:asciiTheme="minorHAnsi" w:eastAsiaTheme="minorEastAsia" w:hAnsiTheme="minorHAnsi"/>
          <w:sz w:val="22"/>
        </w:rPr>
        <w:t>the PM2.5 standard over the next few years.</w:t>
      </w:r>
      <w:r w:rsidR="0084276A">
        <w:rPr>
          <w:rFonts w:asciiTheme="minorHAnsi" w:eastAsiaTheme="minorEastAsia" w:hAnsiTheme="minorHAnsi"/>
          <w:sz w:val="22"/>
        </w:rPr>
        <w:t xml:space="preserve"> </w:t>
      </w:r>
    </w:p>
    <w:p w14:paraId="4505F573" w14:textId="44B8DE59" w:rsidR="00CA448C" w:rsidRPr="00A25C05" w:rsidRDefault="00CA448C" w:rsidP="00CA448C">
      <w:pPr>
        <w:spacing w:before="120" w:after="0" w:line="240" w:lineRule="auto"/>
        <w:rPr>
          <w:rFonts w:ascii="Times New Roman" w:eastAsia="Times New Roman" w:hAnsi="Times New Roman" w:cs="Times New Roman"/>
          <w:b/>
          <w:bCs/>
          <w:color w:val="000080"/>
          <w:sz w:val="24"/>
          <w:szCs w:val="24"/>
        </w:rPr>
      </w:pPr>
      <w:r w:rsidRPr="00A25C05">
        <w:rPr>
          <w:rFonts w:asciiTheme="majorHAnsi" w:eastAsiaTheme="majorEastAsia" w:hAnsiTheme="majorHAnsi" w:cstheme="majorBidi"/>
          <w:b/>
          <w:bCs/>
          <w:color w:val="2F5496" w:themeColor="accent1" w:themeShade="BF"/>
          <w:sz w:val="24"/>
          <w:szCs w:val="24"/>
        </w:rPr>
        <w:t>S</w:t>
      </w:r>
      <w:r w:rsidR="00587208">
        <w:rPr>
          <w:rFonts w:asciiTheme="majorHAnsi" w:eastAsiaTheme="majorEastAsia" w:hAnsiTheme="majorHAnsi" w:cstheme="majorBidi"/>
          <w:b/>
          <w:bCs/>
          <w:color w:val="2F5496" w:themeColor="accent1" w:themeShade="BF"/>
          <w:sz w:val="24"/>
          <w:szCs w:val="24"/>
        </w:rPr>
        <w:t>tartup, Shutdown, Malfunction</w:t>
      </w:r>
      <w:r w:rsidRPr="00A25C05" w:rsidDel="0094265F">
        <w:rPr>
          <w:rFonts w:asciiTheme="majorHAnsi" w:eastAsiaTheme="majorEastAsia" w:hAnsiTheme="majorHAnsi" w:cstheme="majorBidi"/>
          <w:b/>
          <w:bCs/>
          <w:color w:val="2F5496" w:themeColor="accent1" w:themeShade="BF"/>
          <w:sz w:val="24"/>
          <w:szCs w:val="24"/>
        </w:rPr>
        <w:t xml:space="preserve"> </w:t>
      </w:r>
      <w:r w:rsidRPr="00A25C05">
        <w:rPr>
          <w:rFonts w:asciiTheme="majorHAnsi" w:eastAsiaTheme="majorEastAsia" w:hAnsiTheme="majorHAnsi" w:cstheme="majorBidi"/>
          <w:b/>
          <w:bCs/>
          <w:color w:val="2F5496" w:themeColor="accent1" w:themeShade="BF"/>
          <w:sz w:val="24"/>
          <w:szCs w:val="24"/>
        </w:rPr>
        <w:t>(CAA Section 110(k)(5), 40 CFR 52, GA Rule 391-3-1-.02(2)(a)7. and 11.)</w:t>
      </w:r>
    </w:p>
    <w:p w14:paraId="10A6071C" w14:textId="46D93264" w:rsidR="00CA448C" w:rsidRDefault="00CA448C" w:rsidP="00CA448C">
      <w:pPr>
        <w:spacing w:before="120" w:after="0" w:line="240" w:lineRule="auto"/>
      </w:pPr>
      <w:r>
        <w:rPr>
          <w:rFonts w:eastAsia="Times New Roman"/>
          <w:szCs w:val="24"/>
        </w:rPr>
        <w:t xml:space="preserve">In May 2015, </w:t>
      </w:r>
      <w:r w:rsidRPr="00101CF8">
        <w:rPr>
          <w:rFonts w:eastAsia="Times New Roman"/>
          <w:szCs w:val="24"/>
        </w:rPr>
        <w:t xml:space="preserve">EPA </w:t>
      </w:r>
      <w:r w:rsidRPr="2B377831">
        <w:rPr>
          <w:rFonts w:eastAsia="Times New Roman"/>
          <w:szCs w:val="24"/>
        </w:rPr>
        <w:t>issued</w:t>
      </w:r>
      <w:r w:rsidRPr="00101CF8">
        <w:rPr>
          <w:rFonts w:eastAsia="Times New Roman"/>
          <w:szCs w:val="24"/>
        </w:rPr>
        <w:t xml:space="preserve"> a final </w:t>
      </w:r>
      <w:r w:rsidRPr="2B377831">
        <w:rPr>
          <w:rFonts w:eastAsia="Times New Roman"/>
          <w:szCs w:val="24"/>
        </w:rPr>
        <w:t>“</w:t>
      </w:r>
      <w:r w:rsidRPr="00101CF8">
        <w:rPr>
          <w:rFonts w:eastAsia="Times New Roman"/>
          <w:szCs w:val="24"/>
        </w:rPr>
        <w:t xml:space="preserve">SIP </w:t>
      </w:r>
      <w:r>
        <w:rPr>
          <w:rFonts w:eastAsia="Times New Roman"/>
          <w:szCs w:val="24"/>
        </w:rPr>
        <w:t>C</w:t>
      </w:r>
      <w:r w:rsidRPr="2B377831">
        <w:rPr>
          <w:rFonts w:eastAsia="Times New Roman"/>
          <w:szCs w:val="24"/>
        </w:rPr>
        <w:t>all”</w:t>
      </w:r>
      <w:r w:rsidRPr="00101CF8">
        <w:rPr>
          <w:rFonts w:eastAsia="Times New Roman"/>
          <w:szCs w:val="24"/>
        </w:rPr>
        <w:t xml:space="preserve"> requiring </w:t>
      </w:r>
      <w:r>
        <w:rPr>
          <w:rFonts w:eastAsia="Times New Roman"/>
          <w:szCs w:val="24"/>
        </w:rPr>
        <w:t>36</w:t>
      </w:r>
      <w:r w:rsidRPr="00101CF8">
        <w:rPr>
          <w:rFonts w:eastAsia="Times New Roman"/>
          <w:szCs w:val="24"/>
        </w:rPr>
        <w:t xml:space="preserve"> states</w:t>
      </w:r>
      <w:r>
        <w:rPr>
          <w:rFonts w:eastAsia="Times New Roman"/>
          <w:szCs w:val="24"/>
        </w:rPr>
        <w:t>, including Georgia,</w:t>
      </w:r>
      <w:r w:rsidRPr="00101CF8">
        <w:rPr>
          <w:rFonts w:eastAsia="Times New Roman"/>
          <w:szCs w:val="24"/>
        </w:rPr>
        <w:t xml:space="preserve"> to remove exemptions for excess emissions that occur during periods of startup, shutdown, and malfunction</w:t>
      </w:r>
      <w:r>
        <w:rPr>
          <w:rFonts w:eastAsia="Times New Roman"/>
          <w:szCs w:val="24"/>
        </w:rPr>
        <w:t xml:space="preserve"> </w:t>
      </w:r>
      <w:r w:rsidR="00587208">
        <w:rPr>
          <w:rFonts w:eastAsia="Times New Roman"/>
          <w:szCs w:val="24"/>
        </w:rPr>
        <w:t xml:space="preserve">(“SSM”) </w:t>
      </w:r>
      <w:r>
        <w:rPr>
          <w:rFonts w:eastAsia="Times New Roman"/>
          <w:szCs w:val="24"/>
        </w:rPr>
        <w:t>in previously approved state rules</w:t>
      </w:r>
      <w:r w:rsidRPr="00101CF8">
        <w:rPr>
          <w:rFonts w:eastAsia="Times New Roman"/>
          <w:szCs w:val="24"/>
        </w:rPr>
        <w:t xml:space="preserve">.  </w:t>
      </w:r>
      <w:r w:rsidRPr="00DB7156">
        <w:t xml:space="preserve">The Sierra Club petitioned EPA to take this action, primarily based on the argument that such provisions allow emissions that could cause or contribute to violations of ambient air quality standards and that interfere with or preclude enforcement by agencies and citizens. </w:t>
      </w:r>
      <w:r>
        <w:t xml:space="preserve">Georgia Power and the State of Georgia are parties to ongoing litigation in the D.C. Circuit Court challenging the 2015 SSM Rule on the basis that the long-standing Georgia excess emissions rules have supported and not interfered with significant air quality improvements in the area. </w:t>
      </w:r>
      <w:r w:rsidR="001F4561">
        <w:t>The litigation was subsequently placed on hold pending additional EPA rulemaking.</w:t>
      </w:r>
    </w:p>
    <w:p w14:paraId="4C6B77D7" w14:textId="6D227FB0" w:rsidR="00CA448C" w:rsidRDefault="00CA448C" w:rsidP="00CA448C">
      <w:pPr>
        <w:spacing w:before="120" w:after="0" w:line="240" w:lineRule="auto"/>
        <w:rPr>
          <w:rFonts w:cs="Arial"/>
        </w:rPr>
      </w:pPr>
      <w:r>
        <w:rPr>
          <w:rFonts w:cs="Arial"/>
        </w:rPr>
        <w:t>In</w:t>
      </w:r>
      <w:r w:rsidRPr="00DB7156">
        <w:rPr>
          <w:rFonts w:cs="Arial"/>
        </w:rPr>
        <w:t xml:space="preserve"> November 2016</w:t>
      </w:r>
      <w:r>
        <w:rPr>
          <w:rFonts w:cs="Arial"/>
        </w:rPr>
        <w:t xml:space="preserve"> to address the SIP Call</w:t>
      </w:r>
      <w:r w:rsidRPr="00DB7156">
        <w:rPr>
          <w:rFonts w:cs="Arial"/>
        </w:rPr>
        <w:t xml:space="preserve">, Georgia EPD submitted </w:t>
      </w:r>
      <w:r>
        <w:rPr>
          <w:rFonts w:cs="Arial"/>
        </w:rPr>
        <w:t>a</w:t>
      </w:r>
      <w:r w:rsidRPr="00DB7156">
        <w:rPr>
          <w:rFonts w:cs="Arial"/>
        </w:rPr>
        <w:t xml:space="preserve"> new state </w:t>
      </w:r>
      <w:r>
        <w:rPr>
          <w:rFonts w:cs="Arial"/>
        </w:rPr>
        <w:t xml:space="preserve">SSM </w:t>
      </w:r>
      <w:r w:rsidRPr="00DB7156">
        <w:rPr>
          <w:rFonts w:cs="Arial"/>
        </w:rPr>
        <w:t xml:space="preserve">rule </w:t>
      </w:r>
      <w:r>
        <w:t xml:space="preserve">(391-3-1-.02(2)(a)(11)) </w:t>
      </w:r>
      <w:r w:rsidRPr="00DB7156">
        <w:rPr>
          <w:rFonts w:cs="Arial"/>
        </w:rPr>
        <w:t xml:space="preserve">to EPA for approval as a revision to </w:t>
      </w:r>
      <w:r>
        <w:rPr>
          <w:rFonts w:cs="Arial"/>
        </w:rPr>
        <w:t xml:space="preserve">the </w:t>
      </w:r>
      <w:r w:rsidRPr="00DB7156" w:rsidDel="004D7C33">
        <w:rPr>
          <w:rFonts w:cs="Arial"/>
        </w:rPr>
        <w:t xml:space="preserve">Georgia </w:t>
      </w:r>
      <w:r w:rsidRPr="00DB7156">
        <w:rPr>
          <w:rFonts w:cs="Arial"/>
        </w:rPr>
        <w:t>SIP</w:t>
      </w:r>
      <w:r>
        <w:rPr>
          <w:rFonts w:cs="Arial"/>
        </w:rPr>
        <w:t>,</w:t>
      </w:r>
      <w:r w:rsidRPr="00DB7156">
        <w:rPr>
          <w:rFonts w:cs="Arial"/>
        </w:rPr>
        <w:t xml:space="preserve"> </w:t>
      </w:r>
      <w:r>
        <w:rPr>
          <w:rFonts w:cs="Arial"/>
        </w:rPr>
        <w:t xml:space="preserve">setting </w:t>
      </w:r>
      <w:r w:rsidRPr="00DB7156">
        <w:rPr>
          <w:rFonts w:cs="Arial"/>
        </w:rPr>
        <w:t xml:space="preserve">requirements for work practice standards for periods of startup, shutdown, and malfunction. </w:t>
      </w:r>
      <w:r w:rsidR="00294F2B">
        <w:rPr>
          <w:rFonts w:cs="Arial"/>
        </w:rPr>
        <w:t>In subsequent years</w:t>
      </w:r>
      <w:r w:rsidR="004333D1">
        <w:rPr>
          <w:rFonts w:cs="Arial"/>
        </w:rPr>
        <w:t>,</w:t>
      </w:r>
      <w:r w:rsidR="00642C18">
        <w:rPr>
          <w:rFonts w:cs="Arial"/>
        </w:rPr>
        <w:t xml:space="preserve"> EPA </w:t>
      </w:r>
      <w:r w:rsidR="00294F2B">
        <w:rPr>
          <w:rFonts w:cs="Arial"/>
        </w:rPr>
        <w:t xml:space="preserve">changed direction on SSM guidance and </w:t>
      </w:r>
      <w:r w:rsidR="008C4D6A">
        <w:rPr>
          <w:rFonts w:cs="Arial"/>
        </w:rPr>
        <w:t xml:space="preserve">on </w:t>
      </w:r>
      <w:r w:rsidR="00294F2B">
        <w:rPr>
          <w:rFonts w:cs="Arial"/>
        </w:rPr>
        <w:t xml:space="preserve">actions </w:t>
      </w:r>
      <w:r w:rsidR="008C4D6A">
        <w:rPr>
          <w:rFonts w:cs="Arial"/>
        </w:rPr>
        <w:t xml:space="preserve">taken </w:t>
      </w:r>
      <w:r w:rsidR="00294F2B">
        <w:rPr>
          <w:rFonts w:cs="Arial"/>
        </w:rPr>
        <w:t xml:space="preserve">for </w:t>
      </w:r>
      <w:r w:rsidR="00F20C70">
        <w:rPr>
          <w:rFonts w:cs="Arial"/>
        </w:rPr>
        <w:t>certain</w:t>
      </w:r>
      <w:r w:rsidR="00294F2B">
        <w:rPr>
          <w:rFonts w:cs="Arial"/>
        </w:rPr>
        <w:t xml:space="preserve"> states</w:t>
      </w:r>
      <w:r w:rsidR="008C4D6A">
        <w:rPr>
          <w:rFonts w:cs="Arial"/>
        </w:rPr>
        <w:t xml:space="preserve"> multiple times</w:t>
      </w:r>
      <w:r w:rsidR="005D4F2C">
        <w:rPr>
          <w:rFonts w:cs="Arial"/>
        </w:rPr>
        <w:t xml:space="preserve">, </w:t>
      </w:r>
      <w:r w:rsidR="008C4D6A">
        <w:rPr>
          <w:rFonts w:cs="Arial"/>
        </w:rPr>
        <w:t xml:space="preserve">and no action was taken </w:t>
      </w:r>
      <w:r w:rsidR="005D4F2C">
        <w:rPr>
          <w:rFonts w:cs="Arial"/>
        </w:rPr>
        <w:t>on Georgia’s SIP for many years.</w:t>
      </w:r>
    </w:p>
    <w:p w14:paraId="21B8324F" w14:textId="24B2D792" w:rsidR="00CA448C" w:rsidRDefault="00CA448C" w:rsidP="00CA448C">
      <w:pPr>
        <w:spacing w:before="120" w:after="0" w:line="240" w:lineRule="auto"/>
        <w:rPr>
          <w:rStyle w:val="normaltextrun"/>
          <w:shd w:val="clear" w:color="auto" w:fill="FFFFFF"/>
        </w:rPr>
      </w:pPr>
      <w:r>
        <w:rPr>
          <w:rStyle w:val="normaltextrun"/>
          <w:shd w:val="clear" w:color="auto" w:fill="FFFFFF"/>
        </w:rPr>
        <w:t>In December 2021, the D.C. Circuit Court</w:t>
      </w:r>
      <w:r w:rsidRPr="005815C0">
        <w:t xml:space="preserve"> </w:t>
      </w:r>
      <w:r w:rsidRPr="005815C0">
        <w:rPr>
          <w:rStyle w:val="normaltextrun"/>
          <w:shd w:val="clear" w:color="auto" w:fill="FFFFFF"/>
        </w:rPr>
        <w:t xml:space="preserve">reactivated the SSM SIP Call litigation </w:t>
      </w:r>
      <w:r>
        <w:rPr>
          <w:rStyle w:val="normaltextrun"/>
          <w:shd w:val="clear" w:color="auto" w:fill="FFFFFF"/>
        </w:rPr>
        <w:t xml:space="preserve">at the request of EPA </w:t>
      </w:r>
      <w:r w:rsidRPr="005815C0">
        <w:rPr>
          <w:rStyle w:val="normaltextrun"/>
          <w:shd w:val="clear" w:color="auto" w:fill="FFFFFF"/>
        </w:rPr>
        <w:t xml:space="preserve">and </w:t>
      </w:r>
      <w:r w:rsidR="004D33F6">
        <w:rPr>
          <w:rStyle w:val="normaltextrun"/>
          <w:shd w:val="clear" w:color="auto" w:fill="FFFFFF"/>
        </w:rPr>
        <w:t xml:space="preserve">supplemental briefing and oral argument was completed in the spring of 2022. </w:t>
      </w:r>
      <w:r w:rsidR="007636D9">
        <w:rPr>
          <w:rStyle w:val="normaltextrun"/>
          <w:shd w:val="clear" w:color="auto" w:fill="FFFFFF"/>
        </w:rPr>
        <w:t>In November 2022</w:t>
      </w:r>
      <w:r w:rsidR="002A1B5F">
        <w:rPr>
          <w:rStyle w:val="normaltextrun"/>
          <w:shd w:val="clear" w:color="auto" w:fill="FFFFFF"/>
        </w:rPr>
        <w:t>, EPA propos</w:t>
      </w:r>
      <w:r w:rsidR="00F37A13">
        <w:rPr>
          <w:rStyle w:val="normaltextrun"/>
          <w:shd w:val="clear" w:color="auto" w:fill="FFFFFF"/>
        </w:rPr>
        <w:t>ed</w:t>
      </w:r>
      <w:r w:rsidR="002A1B5F">
        <w:rPr>
          <w:rStyle w:val="normaltextrun"/>
          <w:shd w:val="clear" w:color="auto" w:fill="FFFFFF"/>
        </w:rPr>
        <w:t xml:space="preserve"> to disapprove of the Georgia SSM SIP t</w:t>
      </w:r>
      <w:r w:rsidR="001F6EAB">
        <w:rPr>
          <w:rStyle w:val="normaltextrun"/>
          <w:shd w:val="clear" w:color="auto" w:fill="FFFFFF"/>
        </w:rPr>
        <w:t>h</w:t>
      </w:r>
      <w:r w:rsidR="002A1B5F">
        <w:rPr>
          <w:rStyle w:val="normaltextrun"/>
          <w:shd w:val="clear" w:color="auto" w:fill="FFFFFF"/>
        </w:rPr>
        <w:t xml:space="preserve">at was submitted in November 2016 </w:t>
      </w:r>
      <w:r w:rsidR="002A1B5F">
        <w:t>on the basis that the work practice standards in Georgia’s rule did not satisfy Clean Air Act requirements</w:t>
      </w:r>
      <w:r w:rsidR="005100B2">
        <w:t>.</w:t>
      </w:r>
    </w:p>
    <w:p w14:paraId="326ED3A5" w14:textId="2A8B8D48" w:rsidR="00CA448C" w:rsidRDefault="00CA448C" w:rsidP="00CA448C">
      <w:pPr>
        <w:spacing w:before="120" w:after="0" w:line="240" w:lineRule="auto"/>
        <w:rPr>
          <w:rFonts w:cs="Arial"/>
          <w:b/>
          <w:bCs/>
          <w:szCs w:val="24"/>
        </w:rPr>
      </w:pPr>
      <w:r>
        <w:rPr>
          <w:rFonts w:cs="Arial"/>
          <w:b/>
          <w:bCs/>
          <w:szCs w:val="24"/>
        </w:rPr>
        <w:lastRenderedPageBreak/>
        <w:t>New Regulatory</w:t>
      </w:r>
      <w:r w:rsidRPr="00232354">
        <w:rPr>
          <w:rFonts w:cs="Arial"/>
          <w:b/>
          <w:bCs/>
          <w:szCs w:val="24"/>
        </w:rPr>
        <w:t xml:space="preserve"> Updates</w:t>
      </w:r>
    </w:p>
    <w:p w14:paraId="05859360" w14:textId="2B486BAC" w:rsidR="00CA448C" w:rsidRPr="00655C65" w:rsidRDefault="004E6B49" w:rsidP="000014EE">
      <w:pPr>
        <w:pStyle w:val="ListParagraph"/>
        <w:numPr>
          <w:ilvl w:val="0"/>
          <w:numId w:val="13"/>
        </w:numPr>
        <w:spacing w:after="0"/>
        <w:rPr>
          <w:rFonts w:cs="Arial"/>
          <w:b/>
          <w:bCs/>
          <w:szCs w:val="24"/>
        </w:rPr>
      </w:pPr>
      <w:r>
        <w:rPr>
          <w:rFonts w:asciiTheme="minorHAnsi" w:eastAsiaTheme="minorEastAsia" w:hAnsiTheme="minorHAnsi"/>
          <w:sz w:val="22"/>
        </w:rPr>
        <w:t>On</w:t>
      </w:r>
      <w:r w:rsidR="00125209">
        <w:rPr>
          <w:rFonts w:asciiTheme="minorHAnsi" w:eastAsiaTheme="minorEastAsia" w:hAnsiTheme="minorHAnsi"/>
          <w:sz w:val="22"/>
        </w:rPr>
        <w:t xml:space="preserve"> January </w:t>
      </w:r>
      <w:r>
        <w:rPr>
          <w:rFonts w:asciiTheme="minorHAnsi" w:eastAsiaTheme="minorEastAsia" w:hAnsiTheme="minorHAnsi"/>
          <w:sz w:val="22"/>
        </w:rPr>
        <w:t xml:space="preserve">10, </w:t>
      </w:r>
      <w:r w:rsidR="00125209">
        <w:rPr>
          <w:rFonts w:asciiTheme="minorHAnsi" w:eastAsiaTheme="minorEastAsia" w:hAnsiTheme="minorHAnsi"/>
          <w:sz w:val="22"/>
        </w:rPr>
        <w:t>2023, Georgia EPD notified EPA that, although EPD disagrees with EPA’s proposed disapproval, it was withdrawing the November 2016 SSM SIP and stated intentions to revise the state rule and resubmit.</w:t>
      </w:r>
      <w:r w:rsidR="000E5A3F">
        <w:rPr>
          <w:rFonts w:asciiTheme="minorHAnsi" w:eastAsiaTheme="minorEastAsia" w:hAnsiTheme="minorHAnsi"/>
          <w:sz w:val="22"/>
        </w:rPr>
        <w:t xml:space="preserve">  </w:t>
      </w:r>
    </w:p>
    <w:p w14:paraId="1833C114" w14:textId="7A81C8F4" w:rsidR="00655C65" w:rsidRPr="0028196D" w:rsidRDefault="00A927FF" w:rsidP="0028196D">
      <w:pPr>
        <w:pStyle w:val="ListParagraph"/>
        <w:numPr>
          <w:ilvl w:val="0"/>
          <w:numId w:val="13"/>
        </w:numPr>
        <w:spacing w:before="120" w:after="0"/>
        <w:rPr>
          <w:rFonts w:cs="Arial"/>
          <w:b/>
          <w:bCs/>
          <w:szCs w:val="24"/>
        </w:rPr>
      </w:pPr>
      <w:r>
        <w:rPr>
          <w:rFonts w:asciiTheme="minorHAnsi" w:eastAsiaTheme="minorEastAsia" w:hAnsiTheme="minorHAnsi"/>
          <w:sz w:val="22"/>
        </w:rPr>
        <w:t xml:space="preserve">On August 22, 2023, the Georgia Department of Natural Resources approved of </w:t>
      </w:r>
      <w:r w:rsidR="00A42801">
        <w:rPr>
          <w:rFonts w:asciiTheme="minorHAnsi" w:eastAsiaTheme="minorEastAsia" w:hAnsiTheme="minorHAnsi"/>
          <w:sz w:val="22"/>
        </w:rPr>
        <w:t>another new state SSM rule</w:t>
      </w:r>
      <w:r w:rsidR="005100B2">
        <w:rPr>
          <w:rFonts w:asciiTheme="minorHAnsi" w:eastAsiaTheme="minorEastAsia" w:hAnsiTheme="minorHAnsi"/>
          <w:sz w:val="22"/>
        </w:rPr>
        <w:t xml:space="preserve"> to replace the submission that EPA had proposed to disapprove. </w:t>
      </w:r>
      <w:r w:rsidR="00F83204">
        <w:rPr>
          <w:rFonts w:asciiTheme="minorHAnsi" w:eastAsiaTheme="minorEastAsia" w:hAnsiTheme="minorHAnsi"/>
          <w:sz w:val="22"/>
        </w:rPr>
        <w:t>However, t</w:t>
      </w:r>
      <w:r w:rsidR="005100B2">
        <w:rPr>
          <w:rFonts w:asciiTheme="minorHAnsi" w:eastAsiaTheme="minorEastAsia" w:hAnsiTheme="minorHAnsi"/>
          <w:sz w:val="22"/>
        </w:rPr>
        <w:t xml:space="preserve">he new Georgia SSM Rule </w:t>
      </w:r>
      <w:r w:rsidR="00F83204">
        <w:rPr>
          <w:rFonts w:asciiTheme="minorHAnsi" w:eastAsiaTheme="minorEastAsia" w:hAnsiTheme="minorHAnsi"/>
          <w:sz w:val="22"/>
        </w:rPr>
        <w:t xml:space="preserve">does not </w:t>
      </w:r>
      <w:r w:rsidR="00A42801">
        <w:rPr>
          <w:rFonts w:asciiTheme="minorHAnsi" w:eastAsiaTheme="minorEastAsia" w:hAnsiTheme="minorHAnsi"/>
          <w:sz w:val="22"/>
        </w:rPr>
        <w:t xml:space="preserve">go into effect </w:t>
      </w:r>
      <w:r w:rsidR="00F83204">
        <w:rPr>
          <w:rFonts w:asciiTheme="minorHAnsi" w:eastAsiaTheme="minorEastAsia" w:hAnsiTheme="minorHAnsi"/>
          <w:sz w:val="22"/>
        </w:rPr>
        <w:t xml:space="preserve">until </w:t>
      </w:r>
      <w:r w:rsidR="00A42801">
        <w:rPr>
          <w:rFonts w:asciiTheme="minorHAnsi" w:eastAsiaTheme="minorEastAsia" w:hAnsiTheme="minorHAnsi"/>
          <w:sz w:val="22"/>
        </w:rPr>
        <w:t xml:space="preserve">subsequent review and approval </w:t>
      </w:r>
      <w:r w:rsidR="005100B2">
        <w:rPr>
          <w:rFonts w:asciiTheme="minorHAnsi" w:eastAsiaTheme="minorEastAsia" w:hAnsiTheme="minorHAnsi"/>
          <w:sz w:val="22"/>
        </w:rPr>
        <w:t xml:space="preserve">of the state implementation plan </w:t>
      </w:r>
      <w:r w:rsidR="00A42801">
        <w:rPr>
          <w:rFonts w:asciiTheme="minorHAnsi" w:eastAsiaTheme="minorEastAsia" w:hAnsiTheme="minorHAnsi"/>
          <w:sz w:val="22"/>
        </w:rPr>
        <w:t xml:space="preserve">by EPA. </w:t>
      </w:r>
      <w:r w:rsidR="00AA3B9E">
        <w:rPr>
          <w:rFonts w:asciiTheme="minorHAnsi" w:eastAsiaTheme="minorEastAsia" w:hAnsiTheme="minorHAnsi"/>
          <w:sz w:val="22"/>
        </w:rPr>
        <w:t>During this review process</w:t>
      </w:r>
      <w:r w:rsidR="00A42801">
        <w:rPr>
          <w:rFonts w:asciiTheme="minorHAnsi" w:eastAsiaTheme="minorEastAsia" w:hAnsiTheme="minorHAnsi"/>
          <w:sz w:val="22"/>
        </w:rPr>
        <w:t xml:space="preserve">, the longstanding SSM requirements remain in effect. </w:t>
      </w:r>
      <w:r w:rsidR="002144FC">
        <w:rPr>
          <w:rFonts w:asciiTheme="minorHAnsi" w:eastAsiaTheme="minorEastAsia" w:hAnsiTheme="minorHAnsi"/>
          <w:sz w:val="22"/>
        </w:rPr>
        <w:t>The new SSM rule</w:t>
      </w:r>
      <w:r w:rsidR="00D11B6F">
        <w:rPr>
          <w:rFonts w:asciiTheme="minorHAnsi" w:eastAsiaTheme="minorEastAsia" w:hAnsiTheme="minorHAnsi"/>
          <w:sz w:val="22"/>
        </w:rPr>
        <w:t xml:space="preserve">, which is </w:t>
      </w:r>
      <w:proofErr w:type="gramStart"/>
      <w:r w:rsidR="00D11B6F">
        <w:rPr>
          <w:rFonts w:asciiTheme="minorHAnsi" w:eastAsiaTheme="minorEastAsia" w:hAnsiTheme="minorHAnsi"/>
          <w:sz w:val="22"/>
        </w:rPr>
        <w:t>similar to</w:t>
      </w:r>
      <w:proofErr w:type="gramEnd"/>
      <w:r w:rsidR="00D11B6F">
        <w:rPr>
          <w:rFonts w:asciiTheme="minorHAnsi" w:eastAsiaTheme="minorEastAsia" w:hAnsiTheme="minorHAnsi"/>
          <w:sz w:val="22"/>
        </w:rPr>
        <w:t xml:space="preserve"> the EPA-approved SSM rule </w:t>
      </w:r>
      <w:r w:rsidR="002144FC">
        <w:rPr>
          <w:rFonts w:asciiTheme="minorHAnsi" w:eastAsiaTheme="minorEastAsia" w:hAnsiTheme="minorHAnsi"/>
          <w:sz w:val="22"/>
        </w:rPr>
        <w:t xml:space="preserve">in </w:t>
      </w:r>
      <w:r w:rsidR="00967226">
        <w:rPr>
          <w:rFonts w:asciiTheme="minorHAnsi" w:eastAsiaTheme="minorEastAsia" w:hAnsiTheme="minorHAnsi"/>
          <w:sz w:val="22"/>
        </w:rPr>
        <w:t>Mississippi,</w:t>
      </w:r>
      <w:r w:rsidR="00F82CE1">
        <w:rPr>
          <w:rFonts w:asciiTheme="minorHAnsi" w:eastAsiaTheme="minorEastAsia" w:hAnsiTheme="minorHAnsi"/>
          <w:sz w:val="22"/>
        </w:rPr>
        <w:t xml:space="preserve"> </w:t>
      </w:r>
      <w:r w:rsidR="00F83204">
        <w:rPr>
          <w:rFonts w:asciiTheme="minorHAnsi" w:eastAsiaTheme="minorEastAsia" w:hAnsiTheme="minorHAnsi"/>
          <w:sz w:val="22"/>
        </w:rPr>
        <w:t xml:space="preserve">would </w:t>
      </w:r>
      <w:r w:rsidR="00F82CE1">
        <w:rPr>
          <w:rFonts w:asciiTheme="minorHAnsi" w:eastAsiaTheme="minorEastAsia" w:hAnsiTheme="minorHAnsi"/>
          <w:sz w:val="22"/>
        </w:rPr>
        <w:t xml:space="preserve">require facilities to comply with certain </w:t>
      </w:r>
      <w:r w:rsidR="00FC0BFE">
        <w:rPr>
          <w:rFonts w:asciiTheme="minorHAnsi" w:eastAsiaTheme="minorEastAsia" w:hAnsiTheme="minorHAnsi"/>
          <w:sz w:val="22"/>
        </w:rPr>
        <w:t xml:space="preserve">SIP </w:t>
      </w:r>
      <w:r w:rsidR="00F82CE1">
        <w:rPr>
          <w:rFonts w:asciiTheme="minorHAnsi" w:eastAsiaTheme="minorEastAsia" w:hAnsiTheme="minorHAnsi"/>
          <w:sz w:val="22"/>
        </w:rPr>
        <w:t xml:space="preserve">emission limitations during startup and shutdown or </w:t>
      </w:r>
      <w:r w:rsidR="00A833A0">
        <w:rPr>
          <w:rFonts w:asciiTheme="minorHAnsi" w:eastAsiaTheme="minorEastAsia" w:hAnsiTheme="minorHAnsi"/>
          <w:sz w:val="22"/>
        </w:rPr>
        <w:t>request an alternative emission limitation that satisfies various criteria outlined in the rule</w:t>
      </w:r>
      <w:r w:rsidR="002144FC">
        <w:rPr>
          <w:rFonts w:asciiTheme="minorHAnsi" w:eastAsiaTheme="minorEastAsia" w:hAnsiTheme="minorHAnsi"/>
          <w:sz w:val="22"/>
        </w:rPr>
        <w:t xml:space="preserve">. </w:t>
      </w:r>
      <w:r w:rsidR="00B510D1">
        <w:rPr>
          <w:rFonts w:asciiTheme="minorHAnsi" w:eastAsiaTheme="minorEastAsia" w:hAnsiTheme="minorHAnsi"/>
          <w:sz w:val="22"/>
        </w:rPr>
        <w:t xml:space="preserve">  </w:t>
      </w:r>
    </w:p>
    <w:p w14:paraId="75DE46E3" w14:textId="6B253CFB" w:rsidR="007C0F29" w:rsidRPr="00E007CE" w:rsidRDefault="002D063F" w:rsidP="000A253B">
      <w:pPr>
        <w:pStyle w:val="ListParagraph"/>
        <w:numPr>
          <w:ilvl w:val="0"/>
          <w:numId w:val="13"/>
        </w:numPr>
        <w:spacing w:before="120" w:after="0"/>
        <w:rPr>
          <w:rFonts w:cs="Arial"/>
          <w:b/>
          <w:bCs/>
          <w:szCs w:val="24"/>
        </w:rPr>
      </w:pPr>
      <w:r>
        <w:rPr>
          <w:rFonts w:asciiTheme="minorHAnsi" w:eastAsiaTheme="minorEastAsia" w:hAnsiTheme="minorHAnsi"/>
          <w:sz w:val="22"/>
        </w:rPr>
        <w:t>On March 1,</w:t>
      </w:r>
      <w:r w:rsidR="007365F5">
        <w:rPr>
          <w:rFonts w:asciiTheme="minorHAnsi" w:eastAsiaTheme="minorEastAsia" w:hAnsiTheme="minorHAnsi"/>
          <w:sz w:val="22"/>
        </w:rPr>
        <w:t xml:space="preserve"> 2024, the </w:t>
      </w:r>
      <w:r w:rsidR="007C0F29">
        <w:rPr>
          <w:rFonts w:asciiTheme="minorHAnsi" w:eastAsiaTheme="minorEastAsia" w:hAnsiTheme="minorHAnsi"/>
          <w:sz w:val="22"/>
        </w:rPr>
        <w:t xml:space="preserve">D.C. Circuit </w:t>
      </w:r>
      <w:r w:rsidR="007365F5">
        <w:rPr>
          <w:rFonts w:asciiTheme="minorHAnsi" w:eastAsiaTheme="minorEastAsia" w:hAnsiTheme="minorHAnsi"/>
          <w:sz w:val="22"/>
        </w:rPr>
        <w:t>C</w:t>
      </w:r>
      <w:r w:rsidR="007C0F29">
        <w:rPr>
          <w:rFonts w:asciiTheme="minorHAnsi" w:eastAsiaTheme="minorEastAsia" w:hAnsiTheme="minorHAnsi"/>
          <w:sz w:val="22"/>
        </w:rPr>
        <w:t xml:space="preserve">ourt </w:t>
      </w:r>
      <w:r>
        <w:rPr>
          <w:rFonts w:asciiTheme="minorHAnsi" w:eastAsiaTheme="minorEastAsia" w:hAnsiTheme="minorHAnsi"/>
          <w:sz w:val="22"/>
        </w:rPr>
        <w:t xml:space="preserve">issued </w:t>
      </w:r>
      <w:r w:rsidR="007365F5">
        <w:rPr>
          <w:rFonts w:asciiTheme="minorHAnsi" w:eastAsiaTheme="minorEastAsia" w:hAnsiTheme="minorHAnsi"/>
          <w:sz w:val="22"/>
        </w:rPr>
        <w:t xml:space="preserve">a decision in the 2015 SSM SIP Call litigation. </w:t>
      </w:r>
      <w:r w:rsidR="00884C62">
        <w:rPr>
          <w:rFonts w:asciiTheme="minorHAnsi" w:eastAsiaTheme="minorEastAsia" w:hAnsiTheme="minorHAnsi"/>
          <w:sz w:val="22"/>
        </w:rPr>
        <w:t>In a split decision, t</w:t>
      </w:r>
      <w:r w:rsidR="00884C62" w:rsidRPr="00884C62">
        <w:rPr>
          <w:rFonts w:asciiTheme="minorHAnsi" w:eastAsiaTheme="minorEastAsia" w:hAnsiTheme="minorHAnsi"/>
          <w:sz w:val="22"/>
        </w:rPr>
        <w:t>he court vacated the majority of EPA’s 2015 SSM SIP Call issued to 36 states</w:t>
      </w:r>
      <w:r w:rsidR="00884C62">
        <w:rPr>
          <w:rFonts w:asciiTheme="minorHAnsi" w:eastAsiaTheme="minorEastAsia" w:hAnsiTheme="minorHAnsi"/>
          <w:sz w:val="22"/>
        </w:rPr>
        <w:t>,</w:t>
      </w:r>
      <w:r w:rsidR="00884C62" w:rsidRPr="00884C62">
        <w:rPr>
          <w:rFonts w:asciiTheme="minorHAnsi" w:eastAsiaTheme="minorEastAsia" w:hAnsiTheme="minorHAnsi"/>
          <w:sz w:val="22"/>
        </w:rPr>
        <w:t xml:space="preserve"> finding that EPA did not provide a sufficient basis to </w:t>
      </w:r>
      <w:r w:rsidR="004071FA">
        <w:rPr>
          <w:rFonts w:asciiTheme="minorHAnsi" w:eastAsiaTheme="minorEastAsia" w:hAnsiTheme="minorHAnsi"/>
          <w:sz w:val="22"/>
        </w:rPr>
        <w:t>recall states rules with</w:t>
      </w:r>
      <w:r w:rsidR="00884C62" w:rsidRPr="00884C62">
        <w:rPr>
          <w:rFonts w:asciiTheme="minorHAnsi" w:eastAsiaTheme="minorEastAsia" w:hAnsiTheme="minorHAnsi"/>
          <w:sz w:val="22"/>
        </w:rPr>
        <w:t xml:space="preserve"> automatic exemptions</w:t>
      </w:r>
      <w:r w:rsidR="007D5E49">
        <w:rPr>
          <w:rFonts w:asciiTheme="minorHAnsi" w:eastAsiaTheme="minorEastAsia" w:hAnsiTheme="minorHAnsi"/>
          <w:sz w:val="22"/>
        </w:rPr>
        <w:t>, including complete affirmative defense</w:t>
      </w:r>
      <w:r w:rsidR="00547269">
        <w:rPr>
          <w:rFonts w:asciiTheme="minorHAnsi" w:eastAsiaTheme="minorEastAsia" w:hAnsiTheme="minorHAnsi"/>
          <w:sz w:val="22"/>
        </w:rPr>
        <w:t xml:space="preserve">s, </w:t>
      </w:r>
      <w:r w:rsidR="00884C62" w:rsidRPr="00884C62">
        <w:rPr>
          <w:rFonts w:asciiTheme="minorHAnsi" w:eastAsiaTheme="minorEastAsia" w:hAnsiTheme="minorHAnsi"/>
          <w:sz w:val="22"/>
        </w:rPr>
        <w:t xml:space="preserve">or to state director’s discretion provisions. </w:t>
      </w:r>
    </w:p>
    <w:p w14:paraId="70737182" w14:textId="77777777" w:rsidR="00CA448C" w:rsidRPr="00A25C05" w:rsidRDefault="00CA448C" w:rsidP="00CA448C">
      <w:pPr>
        <w:spacing w:before="120" w:after="0" w:line="240" w:lineRule="auto"/>
        <w:rPr>
          <w:rFonts w:ascii="Times New Roman" w:eastAsia="Times New Roman" w:hAnsi="Times New Roman" w:cs="Times New Roman"/>
          <w:b/>
          <w:bCs/>
          <w:color w:val="000080"/>
          <w:sz w:val="24"/>
          <w:szCs w:val="24"/>
        </w:rPr>
      </w:pPr>
      <w:r w:rsidRPr="00A25C05">
        <w:rPr>
          <w:rFonts w:asciiTheme="majorHAnsi" w:eastAsiaTheme="majorEastAsia" w:hAnsiTheme="majorHAnsi" w:cstheme="majorBidi"/>
          <w:b/>
          <w:bCs/>
          <w:color w:val="2F5496" w:themeColor="accent1" w:themeShade="BF"/>
          <w:sz w:val="24"/>
          <w:szCs w:val="24"/>
        </w:rPr>
        <w:t>Georgia Multipollutant Rule and SO2 Emissions Rule (GA Rule 391-3-1-.02(2)(sss) and (uuu))</w:t>
      </w:r>
    </w:p>
    <w:p w14:paraId="17D68BCE" w14:textId="30DA5A4E" w:rsidR="00CA448C" w:rsidRDefault="00CA448C" w:rsidP="00CA448C">
      <w:pPr>
        <w:spacing w:before="120" w:after="0" w:line="240" w:lineRule="auto"/>
      </w:pPr>
      <w:r w:rsidRPr="00DB7156">
        <w:t>In response to federal environmental rules</w:t>
      </w:r>
      <w:r w:rsidR="00E70F00">
        <w:t>,</w:t>
      </w:r>
      <w:r w:rsidRPr="00DB7156">
        <w:t xml:space="preserve"> as well as state-specific objectives, the state of Georgia </w:t>
      </w:r>
      <w:r>
        <w:t xml:space="preserve">has </w:t>
      </w:r>
      <w:r w:rsidRPr="00DB7156">
        <w:t xml:space="preserve">implemented a set of state rules </w:t>
      </w:r>
      <w:r>
        <w:t xml:space="preserve">requiring installation of emission controls and setting </w:t>
      </w:r>
      <w:r w:rsidRPr="00DB7156">
        <w:t xml:space="preserve">emission </w:t>
      </w:r>
      <w:r>
        <w:t>standards for</w:t>
      </w:r>
      <w:r w:rsidRPr="00DB7156">
        <w:t xml:space="preserve"> </w:t>
      </w:r>
      <w:r>
        <w:t xml:space="preserve">coal-fired </w:t>
      </w:r>
      <w:r w:rsidRPr="00DB7156">
        <w:t xml:space="preserve">power plants. </w:t>
      </w:r>
    </w:p>
    <w:p w14:paraId="1CBE0FD1" w14:textId="7CAB5EA0" w:rsidR="00CA448C" w:rsidRPr="00DB7156" w:rsidRDefault="00CA448C" w:rsidP="00CA448C">
      <w:pPr>
        <w:spacing w:before="120" w:after="0" w:line="240" w:lineRule="auto"/>
      </w:pPr>
      <w:r>
        <w:t>Georgia EPD targeted emissions reductions for a broad set of air quality objectives with t</w:t>
      </w:r>
      <w:r w:rsidRPr="00DB7156">
        <w:t>he Georgia Multipollutant Rule</w:t>
      </w:r>
      <w:r>
        <w:t xml:space="preserve">, which </w:t>
      </w:r>
      <w:r w:rsidRPr="00DB7156">
        <w:t>was finalized in June 2007</w:t>
      </w:r>
      <w:r>
        <w:t xml:space="preserve">. </w:t>
      </w:r>
      <w:r w:rsidRPr="00DB7156">
        <w:t>The Georgia Multipollutant Rule was designed to reduce emissions of mercury, SO</w:t>
      </w:r>
      <w:r w:rsidRPr="00DB7156">
        <w:rPr>
          <w:vertAlign w:val="subscript"/>
        </w:rPr>
        <w:t>2</w:t>
      </w:r>
      <w:r w:rsidRPr="00DB7156">
        <w:t xml:space="preserve">, and NOx statewide by requiring installation of specified control technologies </w:t>
      </w:r>
      <w:r>
        <w:t xml:space="preserve">on </w:t>
      </w:r>
      <w:proofErr w:type="gramStart"/>
      <w:r>
        <w:t>all of</w:t>
      </w:r>
      <w:proofErr w:type="gramEnd"/>
      <w:r>
        <w:t xml:space="preserve"> the larger coal-fired electric generating units </w:t>
      </w:r>
      <w:r w:rsidRPr="00DB7156">
        <w:t xml:space="preserve">by specific dates originally set between December 31, 2008, and June 1, </w:t>
      </w:r>
      <w:r w:rsidRPr="005148F0">
        <w:t>2015</w:t>
      </w:r>
      <w:r w:rsidRPr="00DB7156">
        <w:t xml:space="preserve">. </w:t>
      </w:r>
      <w:r>
        <w:t>Specified controls included flue gas desulfurization scrubbers, SCRs, and baghouses.</w:t>
      </w:r>
    </w:p>
    <w:p w14:paraId="42717E52" w14:textId="03F0DBFA" w:rsidR="00CA448C" w:rsidRPr="00DB7156" w:rsidRDefault="00CA448C" w:rsidP="00CA448C">
      <w:pPr>
        <w:spacing w:before="120" w:after="0" w:line="240" w:lineRule="auto"/>
      </w:pPr>
      <w:r>
        <w:t>The Georgia SO</w:t>
      </w:r>
      <w:r w:rsidRPr="6F95C434">
        <w:rPr>
          <w:vertAlign w:val="subscript"/>
        </w:rPr>
        <w:t>2</w:t>
      </w:r>
      <w:r>
        <w:t xml:space="preserve"> Emissions Rule, finalized in January 2009, was designed to be a companion rule to the Georgia Multipollutant Rule. The rule requires reduction of SO</w:t>
      </w:r>
      <w:r w:rsidRPr="6F95C434">
        <w:rPr>
          <w:vertAlign w:val="subscript"/>
        </w:rPr>
        <w:t>2</w:t>
      </w:r>
      <w:r>
        <w:t xml:space="preserve"> emissions by 95% from all units required to install </w:t>
      </w:r>
      <w:r w:rsidR="003540B1">
        <w:t>scrubbers</w:t>
      </w:r>
      <w:r>
        <w:t xml:space="preserve"> under the Georgia Multipollutant Rule, except Plant Yates Unit 1 where a 90% reduction was required. The rule required compliance beginning in January 2010 for units with </w:t>
      </w:r>
      <w:r w:rsidR="003540B1">
        <w:t>scrubbers</w:t>
      </w:r>
      <w:r>
        <w:t xml:space="preserve"> in </w:t>
      </w:r>
      <w:r w:rsidDel="00AD64A3">
        <w:t>operation</w:t>
      </w:r>
      <w:r>
        <w:t xml:space="preserve"> and requires reductions from the remaining units at dates aligning with or close to the Multipollutant Rule compliance dates.   </w:t>
      </w:r>
    </w:p>
    <w:p w14:paraId="4626CCE7" w14:textId="77777777" w:rsidR="00965833" w:rsidRDefault="00CA448C" w:rsidP="00CA448C">
      <w:pPr>
        <w:spacing w:before="120" w:after="0" w:line="240" w:lineRule="auto"/>
      </w:pPr>
      <w:r>
        <w:t xml:space="preserve">The most recent </w:t>
      </w:r>
      <w:r w:rsidRPr="00DB7156">
        <w:t>revisions to both the Georgia Multipollutant Rule and Georgia SO</w:t>
      </w:r>
      <w:r w:rsidRPr="00DB7156">
        <w:rPr>
          <w:vertAlign w:val="subscript"/>
        </w:rPr>
        <w:t>2</w:t>
      </w:r>
      <w:r w:rsidRPr="00DB7156">
        <w:t xml:space="preserve"> Emissions Rule </w:t>
      </w:r>
      <w:r>
        <w:t>were finalized in</w:t>
      </w:r>
      <w:r w:rsidRPr="00DB7156">
        <w:t xml:space="preserve"> June 2011</w:t>
      </w:r>
      <w:r>
        <w:t xml:space="preserve"> and April 2013</w:t>
      </w:r>
      <w:r w:rsidRPr="00DB7156">
        <w:t xml:space="preserve">. These revisions moved up the </w:t>
      </w:r>
      <w:r w:rsidR="003540B1">
        <w:t>scrubber</w:t>
      </w:r>
      <w:r w:rsidRPr="00DB7156">
        <w:t xml:space="preserve"> and SCR compliance dates </w:t>
      </w:r>
      <w:r>
        <w:t xml:space="preserve">for </w:t>
      </w:r>
      <w:r w:rsidR="005A289C">
        <w:t>certai</w:t>
      </w:r>
      <w:r>
        <w:t>n units</w:t>
      </w:r>
      <w:r w:rsidRPr="00DB7156">
        <w:t xml:space="preserve"> and allowed for additional time to install controls </w:t>
      </w:r>
      <w:r>
        <w:t xml:space="preserve">at other units, </w:t>
      </w:r>
      <w:proofErr w:type="gramStart"/>
      <w:r w:rsidRPr="00DB7156">
        <w:t>in an attempt to</w:t>
      </w:r>
      <w:proofErr w:type="gramEnd"/>
      <w:r w:rsidRPr="00DB7156">
        <w:t xml:space="preserve"> streamline the compliance deadlines in the state rules with the M</w:t>
      </w:r>
      <w:r>
        <w:t>ercury and Air Toxics Standards (“M</w:t>
      </w:r>
      <w:r w:rsidRPr="00DB7156">
        <w:t>ATS</w:t>
      </w:r>
      <w:r>
        <w:t>”)</w:t>
      </w:r>
      <w:r w:rsidRPr="00DB7156">
        <w:t xml:space="preserve"> </w:t>
      </w:r>
      <w:r>
        <w:t>R</w:t>
      </w:r>
      <w:r w:rsidRPr="00DB7156">
        <w:t>ule</w:t>
      </w:r>
      <w:r>
        <w:t xml:space="preserve"> deadline of April 2015. The revision also provided the option for Plant Yates units to switch to natural gas instead of installing </w:t>
      </w:r>
      <w:r w:rsidR="003540B1">
        <w:t>scrubbers</w:t>
      </w:r>
      <w:r>
        <w:t xml:space="preserve"> and SCRs.</w:t>
      </w:r>
    </w:p>
    <w:p w14:paraId="3DFC1D88" w14:textId="676DCBF8" w:rsidR="00965833" w:rsidRDefault="00965833" w:rsidP="00965833">
      <w:pPr>
        <w:spacing w:before="120" w:after="0" w:line="240" w:lineRule="auto"/>
        <w:rPr>
          <w:rFonts w:cs="Arial"/>
          <w:b/>
          <w:bCs/>
          <w:szCs w:val="24"/>
        </w:rPr>
      </w:pPr>
      <w:r>
        <w:rPr>
          <w:rFonts w:cs="Arial"/>
          <w:b/>
          <w:bCs/>
          <w:szCs w:val="24"/>
        </w:rPr>
        <w:t>New Regulatory</w:t>
      </w:r>
      <w:r w:rsidRPr="00232354">
        <w:rPr>
          <w:rFonts w:cs="Arial"/>
          <w:b/>
          <w:bCs/>
          <w:szCs w:val="24"/>
        </w:rPr>
        <w:t xml:space="preserve"> Updates</w:t>
      </w:r>
    </w:p>
    <w:p w14:paraId="0C05D0E9" w14:textId="70EB35EF" w:rsidR="00965833" w:rsidRPr="00655C65" w:rsidRDefault="001279FA" w:rsidP="00001A14">
      <w:pPr>
        <w:pStyle w:val="ListParagraph"/>
        <w:numPr>
          <w:ilvl w:val="0"/>
          <w:numId w:val="13"/>
        </w:numPr>
        <w:spacing w:after="0"/>
        <w:rPr>
          <w:rFonts w:cs="Arial"/>
          <w:b/>
          <w:bCs/>
          <w:szCs w:val="24"/>
        </w:rPr>
      </w:pPr>
      <w:r>
        <w:rPr>
          <w:rFonts w:asciiTheme="minorHAnsi" w:eastAsiaTheme="minorEastAsia" w:hAnsiTheme="minorHAnsi"/>
          <w:sz w:val="22"/>
        </w:rPr>
        <w:t xml:space="preserve">On December 22, 2023, </w:t>
      </w:r>
      <w:r w:rsidR="00D87EBB">
        <w:rPr>
          <w:rFonts w:asciiTheme="minorHAnsi" w:eastAsiaTheme="minorEastAsia" w:hAnsiTheme="minorHAnsi"/>
          <w:sz w:val="22"/>
        </w:rPr>
        <w:t>Georgia EPD</w:t>
      </w:r>
      <w:r w:rsidR="00D44C33">
        <w:rPr>
          <w:rFonts w:asciiTheme="minorHAnsi" w:eastAsiaTheme="minorEastAsia" w:hAnsiTheme="minorHAnsi"/>
          <w:sz w:val="22"/>
        </w:rPr>
        <w:t xml:space="preserve"> </w:t>
      </w:r>
      <w:r w:rsidR="00875F09">
        <w:rPr>
          <w:rFonts w:asciiTheme="minorHAnsi" w:eastAsiaTheme="minorEastAsia" w:hAnsiTheme="minorHAnsi"/>
          <w:sz w:val="22"/>
        </w:rPr>
        <w:t xml:space="preserve">submitted to the DNR Board </w:t>
      </w:r>
      <w:r w:rsidR="00A477E6">
        <w:rPr>
          <w:rFonts w:asciiTheme="minorHAnsi" w:eastAsiaTheme="minorEastAsia" w:hAnsiTheme="minorHAnsi"/>
          <w:sz w:val="22"/>
        </w:rPr>
        <w:t>a “Technology and Mercury Impact</w:t>
      </w:r>
      <w:r w:rsidR="00D44C33">
        <w:rPr>
          <w:rFonts w:asciiTheme="minorHAnsi" w:eastAsiaTheme="minorEastAsia" w:hAnsiTheme="minorHAnsi"/>
          <w:sz w:val="22"/>
        </w:rPr>
        <w:t xml:space="preserve"> Review – Periodic Evaluation” report</w:t>
      </w:r>
      <w:r w:rsidR="00875F09">
        <w:rPr>
          <w:rFonts w:asciiTheme="minorHAnsi" w:eastAsiaTheme="minorEastAsia" w:hAnsiTheme="minorHAnsi"/>
          <w:sz w:val="22"/>
        </w:rPr>
        <w:t xml:space="preserve"> in accordance with </w:t>
      </w:r>
      <w:r w:rsidR="00875F09" w:rsidRPr="00875F09">
        <w:rPr>
          <w:rFonts w:asciiTheme="minorHAnsi" w:eastAsiaTheme="minorEastAsia" w:hAnsiTheme="minorHAnsi"/>
          <w:sz w:val="22"/>
        </w:rPr>
        <w:t>Georgia Multipollutant Rule</w:t>
      </w:r>
      <w:r w:rsidR="00965833">
        <w:rPr>
          <w:rFonts w:asciiTheme="minorHAnsi" w:eastAsiaTheme="minorEastAsia" w:hAnsiTheme="minorHAnsi"/>
          <w:sz w:val="22"/>
        </w:rPr>
        <w:t xml:space="preserve">.  </w:t>
      </w:r>
      <w:r w:rsidR="00B4051C">
        <w:rPr>
          <w:rFonts w:asciiTheme="minorHAnsi" w:eastAsiaTheme="minorEastAsia" w:hAnsiTheme="minorHAnsi"/>
          <w:sz w:val="22"/>
        </w:rPr>
        <w:t xml:space="preserve">Based on </w:t>
      </w:r>
      <w:r w:rsidR="004F7EAE">
        <w:rPr>
          <w:rFonts w:asciiTheme="minorHAnsi" w:eastAsiaTheme="minorEastAsia" w:hAnsiTheme="minorHAnsi"/>
          <w:sz w:val="22"/>
        </w:rPr>
        <w:t>controls already imposed by Georgia EPD</w:t>
      </w:r>
      <w:r w:rsidR="00CF1BA4">
        <w:rPr>
          <w:rFonts w:asciiTheme="minorHAnsi" w:eastAsiaTheme="minorEastAsia" w:hAnsiTheme="minorHAnsi"/>
          <w:sz w:val="22"/>
        </w:rPr>
        <w:t xml:space="preserve">, </w:t>
      </w:r>
      <w:r w:rsidR="001E21C5">
        <w:rPr>
          <w:rFonts w:asciiTheme="minorHAnsi" w:eastAsiaTheme="minorEastAsia" w:hAnsiTheme="minorHAnsi"/>
          <w:sz w:val="22"/>
        </w:rPr>
        <w:t xml:space="preserve">implementation of </w:t>
      </w:r>
      <w:r w:rsidR="00CF1BA4">
        <w:rPr>
          <w:rFonts w:asciiTheme="minorHAnsi" w:eastAsiaTheme="minorEastAsia" w:hAnsiTheme="minorHAnsi"/>
          <w:sz w:val="22"/>
        </w:rPr>
        <w:t xml:space="preserve">EPA’s </w:t>
      </w:r>
      <w:r w:rsidR="001E21C5">
        <w:rPr>
          <w:rFonts w:asciiTheme="minorHAnsi" w:eastAsiaTheme="minorEastAsia" w:hAnsiTheme="minorHAnsi"/>
          <w:sz w:val="22"/>
        </w:rPr>
        <w:t>2012 Mercury and Air Toxics Standards</w:t>
      </w:r>
      <w:r w:rsidR="0050480A">
        <w:rPr>
          <w:rFonts w:asciiTheme="minorHAnsi" w:eastAsiaTheme="minorEastAsia" w:hAnsiTheme="minorHAnsi"/>
          <w:sz w:val="22"/>
        </w:rPr>
        <w:t xml:space="preserve">, and </w:t>
      </w:r>
      <w:r w:rsidR="00E2087B">
        <w:rPr>
          <w:rFonts w:asciiTheme="minorHAnsi" w:eastAsiaTheme="minorEastAsia" w:hAnsiTheme="minorHAnsi"/>
          <w:sz w:val="22"/>
        </w:rPr>
        <w:t xml:space="preserve">the “changing landscape of coal-fired power </w:t>
      </w:r>
      <w:r w:rsidR="009A1235">
        <w:rPr>
          <w:rFonts w:asciiTheme="minorHAnsi" w:eastAsiaTheme="minorEastAsia" w:hAnsiTheme="minorHAnsi"/>
          <w:sz w:val="22"/>
        </w:rPr>
        <w:t>industry</w:t>
      </w:r>
      <w:r w:rsidR="00E2087B">
        <w:rPr>
          <w:rFonts w:asciiTheme="minorHAnsi" w:eastAsiaTheme="minorEastAsia" w:hAnsiTheme="minorHAnsi"/>
          <w:sz w:val="22"/>
        </w:rPr>
        <w:t>,</w:t>
      </w:r>
      <w:r w:rsidR="009A1235">
        <w:rPr>
          <w:rFonts w:asciiTheme="minorHAnsi" w:eastAsiaTheme="minorEastAsia" w:hAnsiTheme="minorHAnsi"/>
          <w:sz w:val="22"/>
        </w:rPr>
        <w:t>”</w:t>
      </w:r>
      <w:r w:rsidR="00E2087B">
        <w:rPr>
          <w:rFonts w:asciiTheme="minorHAnsi" w:eastAsiaTheme="minorEastAsia" w:hAnsiTheme="minorHAnsi"/>
          <w:sz w:val="22"/>
        </w:rPr>
        <w:t xml:space="preserve"> Georgia EPD </w:t>
      </w:r>
      <w:r w:rsidR="00B1096B">
        <w:rPr>
          <w:rFonts w:asciiTheme="minorHAnsi" w:eastAsiaTheme="minorEastAsia" w:hAnsiTheme="minorHAnsi"/>
          <w:sz w:val="22"/>
        </w:rPr>
        <w:t xml:space="preserve">does not recommend any </w:t>
      </w:r>
      <w:r w:rsidR="0025585E">
        <w:rPr>
          <w:rFonts w:asciiTheme="minorHAnsi" w:eastAsiaTheme="minorEastAsia" w:hAnsiTheme="minorHAnsi"/>
          <w:sz w:val="22"/>
        </w:rPr>
        <w:t xml:space="preserve">change to the Georgia Multipollutant Rule or </w:t>
      </w:r>
      <w:r w:rsidR="00C07808">
        <w:rPr>
          <w:rFonts w:asciiTheme="minorHAnsi" w:eastAsiaTheme="minorEastAsia" w:hAnsiTheme="minorHAnsi"/>
          <w:sz w:val="22"/>
        </w:rPr>
        <w:t>additional regulations.</w:t>
      </w:r>
    </w:p>
    <w:p w14:paraId="3C9493AA" w14:textId="74A7B048" w:rsidR="00E949FD" w:rsidRPr="00840D0F" w:rsidRDefault="00E949FD" w:rsidP="00E949FD">
      <w:pPr>
        <w:spacing w:before="120" w:after="0" w:line="240" w:lineRule="auto"/>
        <w:rPr>
          <w:rFonts w:asciiTheme="majorHAnsi" w:eastAsiaTheme="majorEastAsia" w:hAnsiTheme="majorHAnsi" w:cstheme="majorBidi"/>
          <w:b/>
          <w:bCs/>
          <w:color w:val="2F5496" w:themeColor="accent1" w:themeShade="BF"/>
          <w:sz w:val="24"/>
          <w:szCs w:val="24"/>
          <w:u w:val="single"/>
        </w:rPr>
      </w:pPr>
      <w:r w:rsidRPr="00E949FD">
        <w:rPr>
          <w:rFonts w:asciiTheme="majorHAnsi" w:eastAsiaTheme="majorEastAsia" w:hAnsiTheme="majorHAnsi" w:cstheme="majorBidi"/>
          <w:b/>
          <w:bCs/>
          <w:color w:val="2F5496" w:themeColor="accent1" w:themeShade="BF"/>
          <w:sz w:val="24"/>
          <w:szCs w:val="24"/>
          <w:u w:val="single"/>
        </w:rPr>
        <w:lastRenderedPageBreak/>
        <w:t xml:space="preserve">National Ambient Air Quality Standards and Georgia Regulations </w:t>
      </w:r>
      <w:r w:rsidRPr="00840D0F">
        <w:rPr>
          <w:rFonts w:asciiTheme="majorHAnsi" w:eastAsiaTheme="majorEastAsia" w:hAnsiTheme="majorHAnsi" w:cstheme="majorBidi"/>
          <w:b/>
          <w:bCs/>
          <w:color w:val="2F5496" w:themeColor="accent1" w:themeShade="BF"/>
          <w:sz w:val="24"/>
          <w:szCs w:val="24"/>
          <w:u w:val="single"/>
        </w:rPr>
        <w:t xml:space="preserve">Compliance Strategy </w:t>
      </w:r>
    </w:p>
    <w:p w14:paraId="5DE6CDA1" w14:textId="77777777" w:rsidR="00CA448C" w:rsidRDefault="00CA448C" w:rsidP="00CA448C">
      <w:pPr>
        <w:spacing w:before="120" w:after="0" w:line="240" w:lineRule="auto"/>
      </w:pPr>
      <w:r>
        <w:t>Georgia Power’s compliance strategy for NAAQS, SSM, and Georgia-specific requirements includes continued compliance with Georgia Rule (jjj), the Multipollutant Rule, the SO2 Emissions Rule, and continued diligence and operations of control equipment and minimizing emissions to meet SSM requirements.</w:t>
      </w:r>
    </w:p>
    <w:p w14:paraId="7A6B81EF" w14:textId="3DF08B4D" w:rsidR="00CA448C" w:rsidRDefault="00660D3B" w:rsidP="00CA448C">
      <w:pPr>
        <w:spacing w:before="120" w:after="0" w:line="240" w:lineRule="auto"/>
      </w:pPr>
      <w:r>
        <w:t>With</w:t>
      </w:r>
      <w:r w:rsidR="00CA448C">
        <w:t xml:space="preserve"> the </w:t>
      </w:r>
      <w:r>
        <w:t>recent lowering of the PM2.5</w:t>
      </w:r>
      <w:r w:rsidR="00CA448C">
        <w:t xml:space="preserve"> NAAQS </w:t>
      </w:r>
      <w:r>
        <w:t xml:space="preserve">and possible future changes to the ozone </w:t>
      </w:r>
      <w:r w:rsidR="00CA448C">
        <w:t xml:space="preserve">NAAQS area, new areas within Georgia and Alabama may become nonattainment in the future. This may result in more stringent emissions and/or permitting requirements. However, because the remaining Georgia Power generating fleet is well controlled for the relevant emissions, lower air quality standards are unlikely to result in the addition of </w:t>
      </w:r>
      <w:r w:rsidR="00356040">
        <w:t xml:space="preserve">new </w:t>
      </w:r>
      <w:r w:rsidR="00CA448C">
        <w:t>emission controls</w:t>
      </w:r>
      <w:r w:rsidR="00AC6514">
        <w:t xml:space="preserve"> but could result in additional capital investment</w:t>
      </w:r>
      <w:r w:rsidR="00707BED">
        <w:t xml:space="preserve"> and expense</w:t>
      </w:r>
      <w:r w:rsidR="00B56C76">
        <w:t>s</w:t>
      </w:r>
      <w:r w:rsidR="00707BED">
        <w:t xml:space="preserve"> associated with operating existing emission controls</w:t>
      </w:r>
      <w:r w:rsidR="00CA448C">
        <w:t xml:space="preserve">. </w:t>
      </w:r>
    </w:p>
    <w:p w14:paraId="0964B5F9" w14:textId="14803A75" w:rsidR="00CA448C" w:rsidRDefault="00713829" w:rsidP="00CA448C">
      <w:pPr>
        <w:spacing w:before="120" w:after="0" w:line="240" w:lineRule="auto"/>
      </w:pPr>
      <w:r>
        <w:t>T</w:t>
      </w:r>
      <w:r w:rsidR="00CA448C">
        <w:t xml:space="preserve">he Company will continue to monitor developments in SSM, NAAQS, and other related state rules to determine any impacts to the environmental compliance strategy. </w:t>
      </w:r>
    </w:p>
    <w:p w14:paraId="77A5C694" w14:textId="6D8E4259" w:rsidR="00CA448C" w:rsidRPr="00095806" w:rsidRDefault="00CA448C" w:rsidP="00CA448C">
      <w:pPr>
        <w:pStyle w:val="Heading1"/>
        <w:spacing w:before="120" w:after="0"/>
        <w:rPr>
          <w:b/>
          <w:bCs/>
          <w:sz w:val="28"/>
          <w:szCs w:val="28"/>
        </w:rPr>
      </w:pPr>
      <w:bookmarkStart w:id="51" w:name="_Toc130201009"/>
      <w:r w:rsidRPr="00095806">
        <w:rPr>
          <w:b/>
          <w:bCs/>
          <w:sz w:val="28"/>
          <w:szCs w:val="28"/>
        </w:rPr>
        <w:t>2.</w:t>
      </w:r>
      <w:r w:rsidR="00C92C1D">
        <w:rPr>
          <w:b/>
          <w:bCs/>
          <w:sz w:val="28"/>
          <w:szCs w:val="28"/>
        </w:rPr>
        <w:t>3</w:t>
      </w:r>
      <w:r w:rsidRPr="00095806">
        <w:rPr>
          <w:b/>
          <w:bCs/>
          <w:sz w:val="28"/>
          <w:szCs w:val="28"/>
        </w:rPr>
        <w:t>.2 SO</w:t>
      </w:r>
      <w:r w:rsidRPr="00095806">
        <w:rPr>
          <w:b/>
          <w:bCs/>
          <w:sz w:val="28"/>
          <w:szCs w:val="28"/>
          <w:vertAlign w:val="subscript"/>
        </w:rPr>
        <w:t>2</w:t>
      </w:r>
      <w:r w:rsidRPr="00095806">
        <w:rPr>
          <w:b/>
          <w:bCs/>
          <w:sz w:val="28"/>
          <w:szCs w:val="28"/>
        </w:rPr>
        <w:t xml:space="preserve"> and NOx Emissions Allowance Programs</w:t>
      </w:r>
      <w:bookmarkEnd w:id="51"/>
    </w:p>
    <w:p w14:paraId="2DC013A7" w14:textId="77777777" w:rsidR="00CA448C" w:rsidRDefault="00CA448C" w:rsidP="00CA448C">
      <w:pPr>
        <w:spacing w:before="120" w:after="0" w:line="240" w:lineRule="auto"/>
      </w:pPr>
      <w:r>
        <w:t xml:space="preserve">Congress or the EPA may use market-based programs to drive emission reductions over multi-state regions. These are typically used in instances where regional, rather than local, factors drive air quality impacts, such as acid rain or secondary formation of air pollution after direct emissions may have traveled over long distances. </w:t>
      </w:r>
    </w:p>
    <w:p w14:paraId="3CBEB91F" w14:textId="77777777" w:rsidR="00CA448C" w:rsidRPr="00095806" w:rsidRDefault="00CA448C" w:rsidP="00CA448C">
      <w:pPr>
        <w:tabs>
          <w:tab w:val="left" w:pos="2342"/>
        </w:tabs>
        <w:suppressAutoHyphens/>
        <w:spacing w:before="120" w:after="0" w:line="240" w:lineRule="auto"/>
        <w:rPr>
          <w:rFonts w:cs="Arial"/>
          <w:b/>
          <w:bCs/>
          <w:szCs w:val="24"/>
        </w:rPr>
      </w:pPr>
      <w:r w:rsidRPr="00095806">
        <w:rPr>
          <w:rFonts w:asciiTheme="majorHAnsi" w:eastAsiaTheme="majorEastAsia" w:hAnsiTheme="majorHAnsi" w:cstheme="majorBidi"/>
          <w:b/>
          <w:bCs/>
          <w:color w:val="2F5496" w:themeColor="accent1" w:themeShade="BF"/>
          <w:sz w:val="24"/>
          <w:szCs w:val="24"/>
        </w:rPr>
        <w:t>Acid Rain Program (40 CFR 72 through 78)</w:t>
      </w:r>
      <w:r w:rsidRPr="00095806">
        <w:rPr>
          <w:rFonts w:cs="Arial"/>
          <w:b/>
          <w:bCs/>
          <w:szCs w:val="24"/>
        </w:rPr>
        <w:tab/>
      </w:r>
    </w:p>
    <w:p w14:paraId="7BD0B0BA" w14:textId="77777777" w:rsidR="00CA448C" w:rsidRDefault="00CA448C" w:rsidP="00CA448C">
      <w:pPr>
        <w:tabs>
          <w:tab w:val="left" w:pos="1428"/>
          <w:tab w:val="left" w:pos="4716"/>
          <w:tab w:val="left" w:pos="4896"/>
          <w:tab w:val="left" w:pos="6718"/>
        </w:tabs>
        <w:suppressAutoHyphens/>
        <w:spacing w:before="120" w:after="0" w:line="240" w:lineRule="auto"/>
        <w:rPr>
          <w:rFonts w:cs="Arial"/>
          <w:szCs w:val="24"/>
        </w:rPr>
      </w:pPr>
      <w:r>
        <w:rPr>
          <w:rFonts w:cs="Arial"/>
          <w:szCs w:val="24"/>
        </w:rPr>
        <w:t>Authorized by the 1990 Clean Air Act Amendments, t</w:t>
      </w:r>
      <w:r w:rsidRPr="00DB7156">
        <w:rPr>
          <w:rFonts w:cs="Arial"/>
          <w:szCs w:val="24"/>
        </w:rPr>
        <w:t>he Acid Rain Program sets a cap on SO</w:t>
      </w:r>
      <w:r w:rsidRPr="00DB7156">
        <w:rPr>
          <w:rFonts w:cs="Arial"/>
          <w:szCs w:val="24"/>
          <w:vertAlign w:val="subscript"/>
        </w:rPr>
        <w:t>2</w:t>
      </w:r>
      <w:r w:rsidRPr="00DB7156">
        <w:rPr>
          <w:rFonts w:cs="Arial"/>
          <w:szCs w:val="24"/>
        </w:rPr>
        <w:t xml:space="preserve"> emissions from power plants by allocating a fixed number of allowances to each unit subject to the program. </w:t>
      </w:r>
      <w:r>
        <w:rPr>
          <w:rFonts w:cs="Arial"/>
          <w:szCs w:val="24"/>
        </w:rPr>
        <w:t xml:space="preserve"> </w:t>
      </w:r>
      <w:r w:rsidRPr="00DB7156">
        <w:rPr>
          <w:rFonts w:cs="Arial"/>
          <w:szCs w:val="24"/>
        </w:rPr>
        <w:t>At the end of each year, a unit must surrender allowances in an amount equal to the number of tons of SO</w:t>
      </w:r>
      <w:r w:rsidRPr="00DB7156">
        <w:rPr>
          <w:rFonts w:cs="Arial"/>
          <w:szCs w:val="24"/>
          <w:vertAlign w:val="subscript"/>
        </w:rPr>
        <w:t>2</w:t>
      </w:r>
      <w:r w:rsidRPr="00DB7156">
        <w:rPr>
          <w:rFonts w:cs="Arial"/>
          <w:szCs w:val="24"/>
        </w:rPr>
        <w:t xml:space="preserve"> emitted. </w:t>
      </w:r>
      <w:r>
        <w:rPr>
          <w:rFonts w:cs="Arial"/>
          <w:szCs w:val="24"/>
        </w:rPr>
        <w:t xml:space="preserve"> </w:t>
      </w:r>
      <w:r w:rsidRPr="00DB7156">
        <w:rPr>
          <w:rFonts w:cs="Arial"/>
          <w:szCs w:val="24"/>
        </w:rPr>
        <w:t xml:space="preserve">Unused allowances may be sold to offset the cost of compliance or saved, i.e., banked, for future use. </w:t>
      </w:r>
      <w:r>
        <w:rPr>
          <w:rFonts w:cs="Arial"/>
          <w:szCs w:val="24"/>
        </w:rPr>
        <w:t xml:space="preserve"> </w:t>
      </w:r>
      <w:r w:rsidRPr="00DB7156">
        <w:rPr>
          <w:rFonts w:cs="Arial"/>
          <w:szCs w:val="24"/>
        </w:rPr>
        <w:t xml:space="preserve">Initial allowance allocations were received in 1995 when Phase I of the program began. </w:t>
      </w:r>
      <w:r>
        <w:rPr>
          <w:rFonts w:cs="Arial"/>
          <w:szCs w:val="24"/>
        </w:rPr>
        <w:t xml:space="preserve"> </w:t>
      </w:r>
      <w:r w:rsidRPr="00DB7156">
        <w:rPr>
          <w:rFonts w:cs="Arial"/>
          <w:szCs w:val="24"/>
        </w:rPr>
        <w:t>When Phase II began in 2000, the number of allowances available was reduced to limit SO</w:t>
      </w:r>
      <w:r w:rsidRPr="00DB7156">
        <w:rPr>
          <w:rFonts w:cs="Arial"/>
          <w:szCs w:val="24"/>
          <w:vertAlign w:val="subscript"/>
        </w:rPr>
        <w:t>2</w:t>
      </w:r>
      <w:r w:rsidRPr="00DB7156">
        <w:rPr>
          <w:rFonts w:cs="Arial"/>
          <w:szCs w:val="24"/>
        </w:rPr>
        <w:t xml:space="preserve"> emissions to 50% below 1980 levels by 2010.</w:t>
      </w:r>
      <w:r>
        <w:rPr>
          <w:rFonts w:cs="Arial"/>
          <w:szCs w:val="24"/>
        </w:rPr>
        <w:t xml:space="preserve"> </w:t>
      </w:r>
      <w:r w:rsidRPr="00DB7156">
        <w:rPr>
          <w:rFonts w:cs="Arial"/>
          <w:szCs w:val="24"/>
        </w:rPr>
        <w:t xml:space="preserve">The regulations also set </w:t>
      </w:r>
      <w:r>
        <w:rPr>
          <w:rFonts w:cs="Arial"/>
          <w:szCs w:val="24"/>
        </w:rPr>
        <w:t xml:space="preserve">emission rate </w:t>
      </w:r>
      <w:r w:rsidRPr="00DB7156">
        <w:rPr>
          <w:rFonts w:cs="Arial"/>
          <w:szCs w:val="24"/>
        </w:rPr>
        <w:t>limitations on NO</w:t>
      </w:r>
      <w:r w:rsidRPr="00DB7156">
        <w:rPr>
          <w:rFonts w:cs="Arial"/>
          <w:szCs w:val="24"/>
          <w:vertAlign w:val="subscript"/>
        </w:rPr>
        <w:t>X</w:t>
      </w:r>
      <w:r w:rsidRPr="00DB7156">
        <w:rPr>
          <w:rFonts w:cs="Arial"/>
          <w:szCs w:val="24"/>
        </w:rPr>
        <w:t xml:space="preserve"> emissions</w:t>
      </w:r>
      <w:r>
        <w:rPr>
          <w:rFonts w:cs="Arial"/>
          <w:szCs w:val="24"/>
        </w:rPr>
        <w:t xml:space="preserve"> from coal units, which can be met by individual units or by a group of units under an averaging plan</w:t>
      </w:r>
      <w:r w:rsidRPr="00DB7156">
        <w:rPr>
          <w:rFonts w:cs="Arial"/>
          <w:szCs w:val="24"/>
        </w:rPr>
        <w:t xml:space="preserve">. </w:t>
      </w:r>
    </w:p>
    <w:p w14:paraId="1018C0F1" w14:textId="515F8E07" w:rsidR="00CA448C" w:rsidRPr="00095806" w:rsidRDefault="00CA448C" w:rsidP="00CA448C">
      <w:pPr>
        <w:tabs>
          <w:tab w:val="left" w:pos="1428"/>
          <w:tab w:val="left" w:pos="4716"/>
          <w:tab w:val="left" w:pos="4896"/>
          <w:tab w:val="left" w:pos="6718"/>
        </w:tabs>
        <w:suppressAutoHyphens/>
        <w:spacing w:before="120" w:after="0" w:line="240" w:lineRule="auto"/>
        <w:rPr>
          <w:rFonts w:asciiTheme="majorHAnsi" w:eastAsiaTheme="majorEastAsia" w:hAnsiTheme="majorHAnsi" w:cstheme="majorBidi"/>
          <w:b/>
          <w:bCs/>
          <w:color w:val="2F5496" w:themeColor="accent1" w:themeShade="BF"/>
          <w:sz w:val="24"/>
          <w:szCs w:val="24"/>
        </w:rPr>
      </w:pPr>
      <w:r w:rsidRPr="00095806">
        <w:rPr>
          <w:rFonts w:asciiTheme="majorHAnsi" w:eastAsiaTheme="majorEastAsia" w:hAnsiTheme="majorHAnsi" w:cstheme="majorBidi"/>
          <w:b/>
          <w:bCs/>
          <w:color w:val="2F5496" w:themeColor="accent1" w:themeShade="BF"/>
          <w:sz w:val="24"/>
          <w:szCs w:val="24"/>
        </w:rPr>
        <w:t>Ozone or PM2.5 Interstate Transport Rules (40 CFR 96 and 97)</w:t>
      </w:r>
    </w:p>
    <w:p w14:paraId="20AE8A49" w14:textId="2F1AB007" w:rsidR="00CA448C" w:rsidRDefault="00CA448C" w:rsidP="00CA448C">
      <w:pPr>
        <w:tabs>
          <w:tab w:val="left" w:pos="1428"/>
          <w:tab w:val="left" w:pos="4716"/>
          <w:tab w:val="left" w:pos="4896"/>
          <w:tab w:val="left" w:pos="6718"/>
        </w:tabs>
        <w:suppressAutoHyphens/>
        <w:spacing w:before="120" w:after="0" w:line="240" w:lineRule="auto"/>
      </w:pPr>
      <w:r>
        <w:rPr>
          <w:rFonts w:cs="Arial"/>
          <w:bCs/>
          <w:szCs w:val="24"/>
        </w:rPr>
        <w:t xml:space="preserve">Since emissions to the air may under certain conditions travel over long distances, the Clean Air Act requires states not only to address nonattainment of air quality standards within its own borders, but also requires states to develop plans to address any out-of-state air quality issues </w:t>
      </w:r>
      <w:r w:rsidR="002416A1">
        <w:rPr>
          <w:rFonts w:cs="Arial"/>
          <w:bCs/>
          <w:szCs w:val="24"/>
        </w:rPr>
        <w:t xml:space="preserve">to which </w:t>
      </w:r>
      <w:r>
        <w:rPr>
          <w:rFonts w:cs="Arial"/>
          <w:bCs/>
          <w:szCs w:val="24"/>
        </w:rPr>
        <w:t xml:space="preserve">they contribute. </w:t>
      </w:r>
      <w:r w:rsidRPr="00DB7156">
        <w:rPr>
          <w:rFonts w:cs="Arial"/>
          <w:bCs/>
          <w:szCs w:val="24"/>
        </w:rPr>
        <w:t xml:space="preserve">EPA has issued </w:t>
      </w:r>
      <w:r>
        <w:rPr>
          <w:rFonts w:cs="Arial"/>
          <w:bCs/>
          <w:szCs w:val="24"/>
        </w:rPr>
        <w:t xml:space="preserve">various </w:t>
      </w:r>
      <w:r w:rsidRPr="00DB7156">
        <w:rPr>
          <w:rFonts w:cs="Arial"/>
          <w:bCs/>
          <w:szCs w:val="24"/>
        </w:rPr>
        <w:t>rules that deal</w:t>
      </w:r>
      <w:r>
        <w:rPr>
          <w:rFonts w:cs="Arial"/>
          <w:bCs/>
          <w:szCs w:val="24"/>
        </w:rPr>
        <w:t>t</w:t>
      </w:r>
      <w:r w:rsidRPr="00DB7156">
        <w:rPr>
          <w:rFonts w:cs="Arial"/>
          <w:bCs/>
          <w:szCs w:val="24"/>
        </w:rPr>
        <w:t xml:space="preserve"> with the transport of pollutants on a regional or multi-state </w:t>
      </w:r>
      <w:r w:rsidR="00F83C03">
        <w:rPr>
          <w:rFonts w:cs="Arial"/>
          <w:bCs/>
          <w:szCs w:val="24"/>
        </w:rPr>
        <w:t>scale</w:t>
      </w:r>
      <w:r w:rsidR="00F83C03" w:rsidRPr="00DB7156">
        <w:rPr>
          <w:rFonts w:cs="Arial"/>
          <w:bCs/>
          <w:szCs w:val="24"/>
        </w:rPr>
        <w:t xml:space="preserve"> </w:t>
      </w:r>
      <w:r w:rsidRPr="00DB7156">
        <w:rPr>
          <w:rFonts w:cs="Arial"/>
          <w:bCs/>
          <w:szCs w:val="24"/>
        </w:rPr>
        <w:t xml:space="preserve">to facilitate </w:t>
      </w:r>
      <w:r>
        <w:rPr>
          <w:rFonts w:cs="Arial"/>
          <w:bCs/>
          <w:szCs w:val="24"/>
        </w:rPr>
        <w:t>the development of these interstate plans</w:t>
      </w:r>
      <w:r w:rsidRPr="00DB7156">
        <w:rPr>
          <w:rFonts w:cs="Arial"/>
          <w:bCs/>
          <w:szCs w:val="24"/>
        </w:rPr>
        <w:t>.</w:t>
      </w:r>
      <w:r>
        <w:t xml:space="preserve"> I</w:t>
      </w:r>
      <w:r w:rsidRPr="00DB7156">
        <w:t>n July</w:t>
      </w:r>
      <w:r>
        <w:t xml:space="preserve"> </w:t>
      </w:r>
      <w:r w:rsidRPr="00DB7156">
        <w:t>2011</w:t>
      </w:r>
      <w:r>
        <w:t>,</w:t>
      </w:r>
      <w:r w:rsidRPr="00DB7156">
        <w:t xml:space="preserve"> EPA released the final CSAPR </w:t>
      </w:r>
      <w:r>
        <w:t xml:space="preserve">Rule, </w:t>
      </w:r>
      <w:r w:rsidRPr="00CC0123">
        <w:t>which replaced previous interstate transport rules such as the CAIR an</w:t>
      </w:r>
      <w:r w:rsidRPr="00A51F39">
        <w:t xml:space="preserve">d the </w:t>
      </w:r>
      <w:r w:rsidRPr="00DB7156">
        <w:t>NO</w:t>
      </w:r>
      <w:r w:rsidRPr="00DB7156">
        <w:rPr>
          <w:vertAlign w:val="subscript"/>
        </w:rPr>
        <w:t>x</w:t>
      </w:r>
      <w:r w:rsidRPr="00A51F39" w:rsidDel="005C6FB7">
        <w:t xml:space="preserve"> </w:t>
      </w:r>
      <w:r w:rsidRPr="00A51F39">
        <w:t>Budget Trading Program</w:t>
      </w:r>
      <w:r>
        <w:t xml:space="preserve">. </w:t>
      </w:r>
      <w:r w:rsidRPr="00DB7156">
        <w:t>The final rule applied to 27 states, including Georgia and Alabama. CSAPR established annual allowance trading program</w:t>
      </w:r>
      <w:r>
        <w:t>s</w:t>
      </w:r>
      <w:r w:rsidRPr="00DB7156">
        <w:t xml:space="preserve"> for SO</w:t>
      </w:r>
      <w:r w:rsidRPr="00DB7156">
        <w:rPr>
          <w:vertAlign w:val="subscript"/>
        </w:rPr>
        <w:t>2</w:t>
      </w:r>
      <w:r w:rsidRPr="1FD948F7">
        <w:rPr>
          <w:vertAlign w:val="subscript"/>
        </w:rPr>
        <w:t>,</w:t>
      </w:r>
      <w:r w:rsidRPr="00DB7156">
        <w:t xml:space="preserve"> and NO</w:t>
      </w:r>
      <w:r w:rsidRPr="00DB7156">
        <w:rPr>
          <w:vertAlign w:val="subscript"/>
        </w:rPr>
        <w:t>x</w:t>
      </w:r>
      <w:r w:rsidRPr="494D61FE">
        <w:rPr>
          <w:vertAlign w:val="subscript"/>
        </w:rPr>
        <w:t>,</w:t>
      </w:r>
      <w:r w:rsidRPr="00DB7156">
        <w:t xml:space="preserve"> to reduce transport of fine particulate matter under the 1997 NAAQS and a separate ozone season NO</w:t>
      </w:r>
      <w:r w:rsidRPr="00DB7156">
        <w:rPr>
          <w:vertAlign w:val="subscript"/>
        </w:rPr>
        <w:t>x</w:t>
      </w:r>
      <w:r w:rsidRPr="00DB7156">
        <w:t xml:space="preserve"> allowance trading program to reduce ground-level ozone under the 1997 standard. However, </w:t>
      </w:r>
      <w:r>
        <w:t>i</w:t>
      </w:r>
      <w:r w:rsidRPr="00DB7156">
        <w:t>n a significant departure from past federal allowance trading programs, CSAPR only allowed for limited interstate trading</w:t>
      </w:r>
      <w:r>
        <w:t xml:space="preserve"> resulting in a more restricted allowance market</w:t>
      </w:r>
      <w:r w:rsidRPr="00DB7156">
        <w:t>.</w:t>
      </w:r>
      <w:r>
        <w:t xml:space="preserve"> Due to rule challenges and legal proceedings, the implementation of CSAPR was delayed by </w:t>
      </w:r>
      <w:r w:rsidRPr="00DB7156">
        <w:t>three years, so that CSAPR</w:t>
      </w:r>
      <w:r>
        <w:t>’</w:t>
      </w:r>
      <w:r w:rsidRPr="00DB7156">
        <w:t xml:space="preserve">s Phase 1 emission budgets </w:t>
      </w:r>
      <w:r>
        <w:t>did not</w:t>
      </w:r>
      <w:r w:rsidRPr="00DB7156">
        <w:t xml:space="preserve"> apply </w:t>
      </w:r>
      <w:r>
        <w:t>until</w:t>
      </w:r>
      <w:r w:rsidRPr="00DB7156">
        <w:t xml:space="preserve"> 2015 and Phase 2 emission budgets </w:t>
      </w:r>
      <w:r>
        <w:t xml:space="preserve">began </w:t>
      </w:r>
      <w:r w:rsidRPr="00DB7156">
        <w:t xml:space="preserve">in 2017 and subsequent years. </w:t>
      </w:r>
    </w:p>
    <w:p w14:paraId="62FBD6DA" w14:textId="320E5E72" w:rsidR="00CA448C" w:rsidRPr="002E0A92" w:rsidRDefault="00CA448C" w:rsidP="00CA448C">
      <w:pPr>
        <w:spacing w:before="120" w:after="0" w:line="240" w:lineRule="auto"/>
      </w:pPr>
      <w:r>
        <w:lastRenderedPageBreak/>
        <w:t xml:space="preserve">In September 2016, EPA finalized the </w:t>
      </w:r>
      <w:r w:rsidRPr="00100693">
        <w:t xml:space="preserve">Cross State Air Pollution Rule Update </w:t>
      </w:r>
      <w:r w:rsidRPr="0AF8DB6F">
        <w:t>(“</w:t>
      </w:r>
      <w:r w:rsidRPr="00100693">
        <w:t>CSAPR Update Rule</w:t>
      </w:r>
      <w:r w:rsidRPr="0AF8DB6F">
        <w:t>”)</w:t>
      </w:r>
      <w:r>
        <w:t xml:space="preserve"> to address interstate transport related to the 2008 ozone NAAQS, further </w:t>
      </w:r>
      <w:r w:rsidR="006800A1">
        <w:t xml:space="preserve">restricting </w:t>
      </w:r>
      <w:r>
        <w:t xml:space="preserve">interstate allowance trading for ozone season NOx. As a result, allowance allocations were unchanged but facilities in Georgia could no longer trade allowances outside of the state. Alabama was among 22 states placed in a different trading group that could trade with each other but had allowance allocations reduced </w:t>
      </w:r>
      <w:proofErr w:type="gramStart"/>
      <w:r>
        <w:t>as a result of</w:t>
      </w:r>
      <w:proofErr w:type="gramEnd"/>
      <w:r>
        <w:t xml:space="preserve"> the CSAPR Update Rule. </w:t>
      </w:r>
      <w:r w:rsidRPr="00100693">
        <w:t xml:space="preserve">In October 2020, EPA </w:t>
      </w:r>
      <w:r>
        <w:t>issued</w:t>
      </w:r>
      <w:r w:rsidRPr="00100693">
        <w:t xml:space="preserve"> a proposal to revise the </w:t>
      </w:r>
      <w:r>
        <w:t xml:space="preserve">CSAPR Update Rule </w:t>
      </w:r>
      <w:r w:rsidRPr="00100693">
        <w:t xml:space="preserve">in response to </w:t>
      </w:r>
      <w:r>
        <w:t>a</w:t>
      </w:r>
      <w:r w:rsidRPr="00100693">
        <w:t xml:space="preserve"> D.C. Circuit Court</w:t>
      </w:r>
      <w:r w:rsidRPr="2B377831">
        <w:t xml:space="preserve"> of Appeal’s </w:t>
      </w:r>
      <w:r>
        <w:t>decision</w:t>
      </w:r>
      <w:r w:rsidRPr="2B377831">
        <w:t>.</w:t>
      </w:r>
      <w:r w:rsidRPr="00100693">
        <w:t> </w:t>
      </w:r>
      <w:r>
        <w:t xml:space="preserve">Georgia and Alabama’s emissions budgets remains unchanged; however, the revision led to the creation of third </w:t>
      </w:r>
      <w:r w:rsidR="00A6552E">
        <w:t xml:space="preserve">ozone NOx </w:t>
      </w:r>
      <w:r>
        <w:t>allowance trading group, further restricting interstate trading.</w:t>
      </w:r>
    </w:p>
    <w:p w14:paraId="726E5C35" w14:textId="3B5A85C8" w:rsidR="00CA448C" w:rsidRDefault="00CA448C" w:rsidP="00CA448C">
      <w:pPr>
        <w:spacing w:before="120" w:after="0" w:line="240" w:lineRule="auto"/>
      </w:pPr>
      <w:r>
        <w:t>In</w:t>
      </w:r>
      <w:r w:rsidRPr="00B80322">
        <w:t xml:space="preserve"> October </w:t>
      </w:r>
      <w:r>
        <w:t>2021</w:t>
      </w:r>
      <w:r w:rsidRPr="00B80322">
        <w:t>, EPA published a Federal Register notice announcing that the Agency has proposed a consent decree with several environmental groups related to the 2015 ozone NAAQS. The proposed consent decree would establish deadlines for EPA to act on 32 SIP submissions</w:t>
      </w:r>
      <w:r>
        <w:t>, including Alabama and Georgia,</w:t>
      </w:r>
      <w:r w:rsidRPr="00B80322">
        <w:t xml:space="preserve"> addressing interstate pollution transport for the 2015 ozone NAAQS.</w:t>
      </w:r>
      <w:r>
        <w:t xml:space="preserve"> </w:t>
      </w:r>
      <w:r w:rsidR="0068417C">
        <w:t>I</w:t>
      </w:r>
      <w:r>
        <w:t xml:space="preserve">n December 2021, EPA issued a final rule approving interstate transport provisions for the 2015 8-Hour ozone standard for Georgia, resolving the need to address interstate transport emissions from the state.  </w:t>
      </w:r>
    </w:p>
    <w:p w14:paraId="030F6B2F" w14:textId="23F3D8BF" w:rsidR="00323CA1" w:rsidRPr="00C425B0" w:rsidRDefault="003963DE" w:rsidP="00A04520">
      <w:pPr>
        <w:spacing w:before="120" w:after="0"/>
      </w:pPr>
      <w:r>
        <w:t>In February</w:t>
      </w:r>
      <w:r w:rsidR="00323CA1" w:rsidRPr="003963DE">
        <w:t xml:space="preserve"> 2022, the EPA </w:t>
      </w:r>
      <w:r>
        <w:t xml:space="preserve">initiated actions to </w:t>
      </w:r>
      <w:r w:rsidR="00323CA1" w:rsidRPr="003963DE">
        <w:t>disapprove 19 interstate transport SIPs for the 2015 ozone NAAQS, including Alabama</w:t>
      </w:r>
      <w:r w:rsidR="00A04520">
        <w:t xml:space="preserve">, setting up the agency’s March 2022 proposed </w:t>
      </w:r>
      <w:r w:rsidR="00323CA1">
        <w:t>Federal Implementation Plan (“</w:t>
      </w:r>
      <w:r w:rsidR="00323CA1" w:rsidRPr="00C425B0">
        <w:t>FIP</w:t>
      </w:r>
      <w:r w:rsidR="00323CA1">
        <w:t>”), called the Good Neighbor Plan,</w:t>
      </w:r>
      <w:r w:rsidR="00323CA1" w:rsidRPr="00C425B0">
        <w:t xml:space="preserve"> to </w:t>
      </w:r>
      <w:r w:rsidR="00323CA1">
        <w:t xml:space="preserve">effectively revise CSAPR and </w:t>
      </w:r>
      <w:r w:rsidR="00323CA1" w:rsidRPr="00C425B0">
        <w:t xml:space="preserve">require reductions in </w:t>
      </w:r>
      <w:r w:rsidR="00323CA1">
        <w:t xml:space="preserve">ozone season </w:t>
      </w:r>
      <w:r w:rsidR="00323CA1" w:rsidRPr="00C425B0">
        <w:t xml:space="preserve">NOx emissions from sources in 26 states. </w:t>
      </w:r>
      <w:r w:rsidR="00323CA1">
        <w:t xml:space="preserve">Georgia is not included in the Good Neighbor Plan, but </w:t>
      </w:r>
      <w:r w:rsidR="00323CA1" w:rsidRPr="00C425B0">
        <w:t xml:space="preserve">Alabama </w:t>
      </w:r>
      <w:r w:rsidR="00323CA1">
        <w:t>was proposed to be moved to a more stringent ozone season NOx trading group</w:t>
      </w:r>
      <w:r w:rsidR="00323CA1" w:rsidRPr="00C615C2">
        <w:t xml:space="preserve"> </w:t>
      </w:r>
      <w:r w:rsidR="00323CA1" w:rsidRPr="00C425B0">
        <w:t xml:space="preserve">starting in </w:t>
      </w:r>
      <w:r w:rsidR="00323CA1">
        <w:t xml:space="preserve">May </w:t>
      </w:r>
      <w:r w:rsidR="00323CA1" w:rsidRPr="00C425B0">
        <w:t>2023</w:t>
      </w:r>
      <w:r w:rsidR="00323CA1">
        <w:t xml:space="preserve">, which tends to have much higher allowance market prices. </w:t>
      </w:r>
    </w:p>
    <w:p w14:paraId="6EBDE0AB" w14:textId="3CBDDC8B" w:rsidR="00125209" w:rsidRPr="00323CA1" w:rsidRDefault="00CA448C" w:rsidP="00323CA1">
      <w:pPr>
        <w:spacing w:before="120" w:after="0" w:line="240" w:lineRule="auto"/>
        <w:rPr>
          <w:rFonts w:cs="Arial"/>
          <w:b/>
          <w:bCs/>
          <w:szCs w:val="24"/>
        </w:rPr>
      </w:pPr>
      <w:r>
        <w:rPr>
          <w:rFonts w:cs="Arial"/>
          <w:b/>
          <w:bCs/>
          <w:szCs w:val="24"/>
        </w:rPr>
        <w:t>New</w:t>
      </w:r>
      <w:r w:rsidRPr="00232354">
        <w:rPr>
          <w:rFonts w:cs="Arial"/>
          <w:b/>
          <w:bCs/>
          <w:szCs w:val="24"/>
        </w:rPr>
        <w:t xml:space="preserve"> Regulatory Updates</w:t>
      </w:r>
      <w:r w:rsidR="00125209" w:rsidRPr="00323CA1">
        <w:t xml:space="preserve">   </w:t>
      </w:r>
    </w:p>
    <w:p w14:paraId="1C21366C" w14:textId="2FDB5658" w:rsidR="00B10260" w:rsidRPr="00B10260" w:rsidRDefault="00B10260" w:rsidP="00001A14">
      <w:pPr>
        <w:pStyle w:val="ListParagraph"/>
        <w:numPr>
          <w:ilvl w:val="0"/>
          <w:numId w:val="12"/>
        </w:numPr>
        <w:spacing w:after="0"/>
        <w:rPr>
          <w:rFonts w:asciiTheme="minorHAnsi" w:eastAsiaTheme="minorEastAsia" w:hAnsiTheme="minorHAnsi"/>
          <w:sz w:val="22"/>
        </w:rPr>
      </w:pPr>
      <w:r w:rsidRPr="00F728E2">
        <w:rPr>
          <w:rFonts w:asciiTheme="minorHAnsi" w:eastAsiaTheme="minorEastAsia" w:hAnsiTheme="minorHAnsi"/>
          <w:sz w:val="22"/>
        </w:rPr>
        <w:t xml:space="preserve">On February 13, 2023, EPA </w:t>
      </w:r>
      <w:r w:rsidR="0094437D" w:rsidRPr="00F728E2">
        <w:rPr>
          <w:rFonts w:asciiTheme="minorHAnsi" w:eastAsiaTheme="minorEastAsia" w:hAnsiTheme="minorHAnsi"/>
          <w:sz w:val="22"/>
        </w:rPr>
        <w:t>published</w:t>
      </w:r>
      <w:r w:rsidRPr="00F728E2">
        <w:rPr>
          <w:rFonts w:asciiTheme="minorHAnsi" w:eastAsiaTheme="minorEastAsia" w:hAnsiTheme="minorHAnsi"/>
          <w:sz w:val="22"/>
        </w:rPr>
        <w:t xml:space="preserve"> a final rule disapproving infrastructure SIP submissions with respect to the 2015 8-hour ozone NAAQS for 19 states</w:t>
      </w:r>
      <w:r w:rsidR="00F728E2" w:rsidRPr="00F728E2">
        <w:rPr>
          <w:rFonts w:asciiTheme="minorHAnsi" w:eastAsiaTheme="minorEastAsia" w:hAnsiTheme="minorHAnsi"/>
          <w:sz w:val="22"/>
        </w:rPr>
        <w:t>, including Alabama</w:t>
      </w:r>
      <w:r w:rsidRPr="00F728E2">
        <w:rPr>
          <w:rFonts w:asciiTheme="minorHAnsi" w:eastAsiaTheme="minorEastAsia" w:hAnsiTheme="minorHAnsi"/>
          <w:sz w:val="22"/>
        </w:rPr>
        <w:t xml:space="preserve">. </w:t>
      </w:r>
      <w:r w:rsidR="003D3194">
        <w:rPr>
          <w:rFonts w:asciiTheme="minorHAnsi" w:eastAsiaTheme="minorEastAsia" w:hAnsiTheme="minorHAnsi"/>
          <w:sz w:val="22"/>
        </w:rPr>
        <w:t>Th</w:t>
      </w:r>
      <w:r w:rsidR="003970CD">
        <w:rPr>
          <w:rFonts w:asciiTheme="minorHAnsi" w:eastAsiaTheme="minorEastAsia" w:hAnsiTheme="minorHAnsi"/>
          <w:sz w:val="22"/>
        </w:rPr>
        <w:t>e</w:t>
      </w:r>
      <w:r w:rsidR="003D3194">
        <w:rPr>
          <w:rFonts w:asciiTheme="minorHAnsi" w:eastAsiaTheme="minorEastAsia" w:hAnsiTheme="minorHAnsi"/>
          <w:sz w:val="22"/>
        </w:rPr>
        <w:t xml:space="preserve"> action </w:t>
      </w:r>
      <w:r w:rsidR="003970CD">
        <w:rPr>
          <w:rFonts w:asciiTheme="minorHAnsi" w:eastAsiaTheme="minorEastAsia" w:hAnsiTheme="minorHAnsi"/>
          <w:sz w:val="22"/>
        </w:rPr>
        <w:t xml:space="preserve">for Alabama </w:t>
      </w:r>
      <w:r w:rsidR="003D3194">
        <w:rPr>
          <w:rFonts w:asciiTheme="minorHAnsi" w:eastAsiaTheme="minorEastAsia" w:hAnsiTheme="minorHAnsi"/>
          <w:sz w:val="22"/>
        </w:rPr>
        <w:t>was challenged by multiple parties in the 11</w:t>
      </w:r>
      <w:r w:rsidR="003D3194" w:rsidRPr="003D3194">
        <w:rPr>
          <w:rFonts w:asciiTheme="minorHAnsi" w:eastAsiaTheme="minorEastAsia" w:hAnsiTheme="minorHAnsi"/>
          <w:sz w:val="22"/>
          <w:vertAlign w:val="superscript"/>
        </w:rPr>
        <w:t>th</w:t>
      </w:r>
      <w:r w:rsidR="003D3194">
        <w:rPr>
          <w:rFonts w:asciiTheme="minorHAnsi" w:eastAsiaTheme="minorEastAsia" w:hAnsiTheme="minorHAnsi"/>
          <w:sz w:val="22"/>
        </w:rPr>
        <w:t xml:space="preserve"> Circuit Court of Appeals. </w:t>
      </w:r>
    </w:p>
    <w:p w14:paraId="53BEDBAF" w14:textId="2036A884" w:rsidR="002069B1" w:rsidRDefault="00F04552" w:rsidP="000A253B">
      <w:pPr>
        <w:pStyle w:val="ListParagraph"/>
        <w:numPr>
          <w:ilvl w:val="0"/>
          <w:numId w:val="12"/>
        </w:numPr>
        <w:spacing w:before="120" w:after="0"/>
        <w:rPr>
          <w:rFonts w:asciiTheme="minorHAnsi" w:eastAsiaTheme="minorEastAsia" w:hAnsiTheme="minorHAnsi"/>
          <w:sz w:val="22"/>
        </w:rPr>
      </w:pPr>
      <w:r>
        <w:rPr>
          <w:rFonts w:asciiTheme="minorHAnsi" w:eastAsiaTheme="minorEastAsia" w:hAnsiTheme="minorHAnsi"/>
          <w:sz w:val="22"/>
        </w:rPr>
        <w:t xml:space="preserve">On </w:t>
      </w:r>
      <w:r w:rsidR="00E821AB">
        <w:rPr>
          <w:rFonts w:asciiTheme="minorHAnsi" w:eastAsiaTheme="minorEastAsia" w:hAnsiTheme="minorHAnsi"/>
          <w:sz w:val="22"/>
        </w:rPr>
        <w:t>June 5, 2023</w:t>
      </w:r>
      <w:r w:rsidR="00BA45E6">
        <w:rPr>
          <w:rFonts w:asciiTheme="minorHAnsi" w:eastAsiaTheme="minorEastAsia" w:hAnsiTheme="minorHAnsi"/>
          <w:sz w:val="22"/>
        </w:rPr>
        <w:t xml:space="preserve">, EPA </w:t>
      </w:r>
      <w:r w:rsidR="00E821AB">
        <w:rPr>
          <w:rFonts w:asciiTheme="minorHAnsi" w:eastAsiaTheme="minorEastAsia" w:hAnsiTheme="minorHAnsi"/>
          <w:sz w:val="22"/>
        </w:rPr>
        <w:t xml:space="preserve">published </w:t>
      </w:r>
      <w:r w:rsidR="00BA45E6">
        <w:rPr>
          <w:rFonts w:asciiTheme="minorHAnsi" w:eastAsiaTheme="minorEastAsia" w:hAnsiTheme="minorHAnsi"/>
          <w:sz w:val="22"/>
        </w:rPr>
        <w:t>the final Good Neighbor Plan</w:t>
      </w:r>
      <w:r w:rsidR="00E821AB">
        <w:rPr>
          <w:rFonts w:asciiTheme="minorHAnsi" w:eastAsiaTheme="minorEastAsia" w:hAnsiTheme="minorHAnsi"/>
          <w:sz w:val="22"/>
        </w:rPr>
        <w:t xml:space="preserve"> </w:t>
      </w:r>
      <w:r w:rsidR="002416A2">
        <w:rPr>
          <w:rFonts w:asciiTheme="minorHAnsi" w:eastAsiaTheme="minorEastAsia" w:hAnsiTheme="minorHAnsi"/>
          <w:sz w:val="22"/>
        </w:rPr>
        <w:t xml:space="preserve">with an effective date of August 4, 2023, </w:t>
      </w:r>
      <w:r w:rsidR="00E821AB">
        <w:rPr>
          <w:rFonts w:asciiTheme="minorHAnsi" w:eastAsiaTheme="minorEastAsia" w:hAnsiTheme="minorHAnsi"/>
          <w:sz w:val="22"/>
        </w:rPr>
        <w:t>after a lengthy delay in publication</w:t>
      </w:r>
      <w:r w:rsidR="00E175D3">
        <w:rPr>
          <w:rFonts w:asciiTheme="minorHAnsi" w:eastAsiaTheme="minorEastAsia" w:hAnsiTheme="minorHAnsi"/>
          <w:sz w:val="22"/>
        </w:rPr>
        <w:t xml:space="preserve">. The final rule contained various changes compared to the proposal, but </w:t>
      </w:r>
      <w:r w:rsidR="002D6989">
        <w:rPr>
          <w:rFonts w:asciiTheme="minorHAnsi" w:eastAsiaTheme="minorEastAsia" w:hAnsiTheme="minorHAnsi"/>
          <w:sz w:val="22"/>
        </w:rPr>
        <w:t xml:space="preserve">both final and proposed rule would move </w:t>
      </w:r>
      <w:r w:rsidR="00777DAE">
        <w:rPr>
          <w:rFonts w:asciiTheme="minorHAnsi" w:eastAsiaTheme="minorEastAsia" w:hAnsiTheme="minorHAnsi"/>
          <w:sz w:val="22"/>
        </w:rPr>
        <w:t>power plants</w:t>
      </w:r>
      <w:r w:rsidR="00C6754D">
        <w:rPr>
          <w:rFonts w:asciiTheme="minorHAnsi" w:eastAsiaTheme="minorEastAsia" w:hAnsiTheme="minorHAnsi"/>
          <w:sz w:val="22"/>
        </w:rPr>
        <w:t xml:space="preserve"> in Alabama </w:t>
      </w:r>
      <w:r w:rsidR="005A289C">
        <w:rPr>
          <w:rFonts w:asciiTheme="minorHAnsi" w:eastAsiaTheme="minorEastAsia" w:hAnsiTheme="minorHAnsi"/>
          <w:sz w:val="22"/>
        </w:rPr>
        <w:t xml:space="preserve">to </w:t>
      </w:r>
      <w:r w:rsidR="00C6754D">
        <w:rPr>
          <w:rFonts w:asciiTheme="minorHAnsi" w:eastAsiaTheme="minorEastAsia" w:hAnsiTheme="minorHAnsi"/>
          <w:sz w:val="22"/>
        </w:rPr>
        <w:t>a more stringent ozone NOx trading group.</w:t>
      </w:r>
      <w:r w:rsidR="004420D2">
        <w:rPr>
          <w:rFonts w:asciiTheme="minorHAnsi" w:eastAsiaTheme="minorEastAsia" w:hAnsiTheme="minorHAnsi"/>
          <w:sz w:val="22"/>
        </w:rPr>
        <w:t xml:space="preserve"> </w:t>
      </w:r>
      <w:r w:rsidR="0092219C">
        <w:rPr>
          <w:rFonts w:asciiTheme="minorHAnsi" w:eastAsiaTheme="minorEastAsia" w:hAnsiTheme="minorHAnsi"/>
          <w:sz w:val="22"/>
        </w:rPr>
        <w:t xml:space="preserve">Under the Group 3 </w:t>
      </w:r>
      <w:r w:rsidR="00BD336E">
        <w:rPr>
          <w:rFonts w:asciiTheme="minorHAnsi" w:eastAsiaTheme="minorEastAsia" w:hAnsiTheme="minorHAnsi"/>
          <w:sz w:val="22"/>
        </w:rPr>
        <w:t xml:space="preserve">ozone </w:t>
      </w:r>
      <w:r w:rsidR="0092219C">
        <w:rPr>
          <w:rFonts w:asciiTheme="minorHAnsi" w:eastAsiaTheme="minorEastAsia" w:hAnsiTheme="minorHAnsi"/>
          <w:sz w:val="22"/>
        </w:rPr>
        <w:t>NOx trading group that Alabama will be a part of, the state receives less than half of the allowances it received under the previous CSAPR program.</w:t>
      </w:r>
      <w:r w:rsidR="00004434">
        <w:rPr>
          <w:rFonts w:asciiTheme="minorHAnsi" w:eastAsiaTheme="minorEastAsia" w:hAnsiTheme="minorHAnsi"/>
          <w:sz w:val="22"/>
        </w:rPr>
        <w:t xml:space="preserve"> State allowance budgets are pre-set for the years 2023 through 2029, </w:t>
      </w:r>
      <w:r w:rsidR="002169F5">
        <w:rPr>
          <w:rFonts w:asciiTheme="minorHAnsi" w:eastAsiaTheme="minorEastAsia" w:hAnsiTheme="minorHAnsi"/>
          <w:sz w:val="22"/>
        </w:rPr>
        <w:t xml:space="preserve">decreasing over time. </w:t>
      </w:r>
      <w:r w:rsidR="00892CA5">
        <w:rPr>
          <w:rFonts w:asciiTheme="minorHAnsi" w:eastAsiaTheme="minorEastAsia" w:hAnsiTheme="minorHAnsi"/>
          <w:sz w:val="22"/>
        </w:rPr>
        <w:t>Beginning i</w:t>
      </w:r>
      <w:r w:rsidR="002169F5">
        <w:rPr>
          <w:rFonts w:asciiTheme="minorHAnsi" w:eastAsiaTheme="minorEastAsia" w:hAnsiTheme="minorHAnsi"/>
          <w:sz w:val="22"/>
        </w:rPr>
        <w:t xml:space="preserve">n 2030, </w:t>
      </w:r>
      <w:r w:rsidR="00892CA5">
        <w:rPr>
          <w:rFonts w:asciiTheme="minorHAnsi" w:eastAsiaTheme="minorEastAsia" w:hAnsiTheme="minorHAnsi"/>
          <w:sz w:val="22"/>
        </w:rPr>
        <w:t xml:space="preserve">EPA requires dynamic state budgeting, meaning allowance budgets will </w:t>
      </w:r>
      <w:r w:rsidR="00E0431D">
        <w:rPr>
          <w:rFonts w:asciiTheme="minorHAnsi" w:eastAsiaTheme="minorEastAsia" w:hAnsiTheme="minorHAnsi"/>
          <w:sz w:val="22"/>
        </w:rPr>
        <w:t>automatically decrease as emissions decrease. EPA also introduces new requirements in the Good Neighbor Plan</w:t>
      </w:r>
      <w:r w:rsidR="00DF4F6D">
        <w:rPr>
          <w:rFonts w:asciiTheme="minorHAnsi" w:eastAsiaTheme="minorEastAsia" w:hAnsiTheme="minorHAnsi"/>
          <w:sz w:val="22"/>
        </w:rPr>
        <w:t xml:space="preserve">, including </w:t>
      </w:r>
      <w:r w:rsidR="003A4C0C">
        <w:rPr>
          <w:rFonts w:asciiTheme="minorHAnsi" w:eastAsiaTheme="minorEastAsia" w:hAnsiTheme="minorHAnsi"/>
          <w:sz w:val="22"/>
        </w:rPr>
        <w:t xml:space="preserve">additional </w:t>
      </w:r>
      <w:r w:rsidR="00F17AA5">
        <w:rPr>
          <w:rFonts w:asciiTheme="minorHAnsi" w:eastAsiaTheme="minorEastAsia" w:hAnsiTheme="minorHAnsi"/>
          <w:sz w:val="22"/>
        </w:rPr>
        <w:t xml:space="preserve">emissions </w:t>
      </w:r>
      <w:r w:rsidR="003A4C0C">
        <w:rPr>
          <w:rFonts w:asciiTheme="minorHAnsi" w:eastAsiaTheme="minorEastAsia" w:hAnsiTheme="minorHAnsi"/>
          <w:sz w:val="22"/>
        </w:rPr>
        <w:t xml:space="preserve">constraints on units with SCR controls and limitations on allowance banking. </w:t>
      </w:r>
    </w:p>
    <w:p w14:paraId="04CFADDD" w14:textId="2C0FE292" w:rsidR="00D75926" w:rsidRPr="003D3194" w:rsidRDefault="00D75926" w:rsidP="003D3194">
      <w:pPr>
        <w:pStyle w:val="ListParagraph"/>
        <w:numPr>
          <w:ilvl w:val="0"/>
          <w:numId w:val="12"/>
        </w:numPr>
        <w:spacing w:before="120" w:after="0"/>
        <w:rPr>
          <w:rFonts w:asciiTheme="minorHAnsi" w:eastAsiaTheme="minorEastAsia" w:hAnsiTheme="minorHAnsi"/>
          <w:sz w:val="22"/>
        </w:rPr>
      </w:pPr>
      <w:r w:rsidRPr="00D75926">
        <w:rPr>
          <w:rFonts w:asciiTheme="minorHAnsi" w:eastAsiaTheme="minorEastAsia" w:hAnsiTheme="minorHAnsi"/>
          <w:sz w:val="22"/>
        </w:rPr>
        <w:t xml:space="preserve">On August </w:t>
      </w:r>
      <w:r w:rsidR="009E28E3">
        <w:rPr>
          <w:rFonts w:asciiTheme="minorHAnsi" w:eastAsiaTheme="minorEastAsia" w:hAnsiTheme="minorHAnsi"/>
          <w:sz w:val="22"/>
        </w:rPr>
        <w:t>17</w:t>
      </w:r>
      <w:r w:rsidRPr="00D75926">
        <w:rPr>
          <w:rFonts w:asciiTheme="minorHAnsi" w:eastAsiaTheme="minorEastAsia" w:hAnsiTheme="minorHAnsi"/>
          <w:sz w:val="22"/>
        </w:rPr>
        <w:t xml:space="preserve">, 2023, the </w:t>
      </w:r>
      <w:r w:rsidR="003D3194">
        <w:rPr>
          <w:rFonts w:asciiTheme="minorHAnsi" w:eastAsiaTheme="minorEastAsia" w:hAnsiTheme="minorHAnsi"/>
          <w:sz w:val="22"/>
        </w:rPr>
        <w:t>11</w:t>
      </w:r>
      <w:r w:rsidR="003D3194" w:rsidRPr="003D3194">
        <w:rPr>
          <w:rFonts w:asciiTheme="minorHAnsi" w:eastAsiaTheme="minorEastAsia" w:hAnsiTheme="minorHAnsi"/>
          <w:sz w:val="22"/>
          <w:vertAlign w:val="superscript"/>
        </w:rPr>
        <w:t>th</w:t>
      </w:r>
      <w:r w:rsidRPr="003D3194">
        <w:t xml:space="preserve"> </w:t>
      </w:r>
      <w:r w:rsidRPr="003D3194">
        <w:rPr>
          <w:rFonts w:asciiTheme="minorHAnsi" w:eastAsiaTheme="minorEastAsia" w:hAnsiTheme="minorHAnsi"/>
          <w:sz w:val="22"/>
        </w:rPr>
        <w:t>Circuit Court of Appeals granted Alabama petitioners’ motion to stay EPA’s 2015 ozone NAAQS transport SIP Disapproval for Alabama</w:t>
      </w:r>
      <w:r w:rsidR="003D3194">
        <w:rPr>
          <w:rFonts w:asciiTheme="minorHAnsi" w:eastAsiaTheme="minorEastAsia" w:hAnsiTheme="minorHAnsi"/>
          <w:sz w:val="22"/>
        </w:rPr>
        <w:t>, effectively staying the Good Neighbor Plan’s applicability to Alabama as well.</w:t>
      </w:r>
    </w:p>
    <w:p w14:paraId="7F9AF9E1" w14:textId="2128CD80" w:rsidR="009376E0" w:rsidRDefault="006E4CEC" w:rsidP="000A253B">
      <w:pPr>
        <w:pStyle w:val="ListParagraph"/>
        <w:numPr>
          <w:ilvl w:val="0"/>
          <w:numId w:val="12"/>
        </w:numPr>
        <w:spacing w:before="120" w:after="0"/>
        <w:rPr>
          <w:rFonts w:asciiTheme="minorHAnsi" w:eastAsiaTheme="minorEastAsia" w:hAnsiTheme="minorHAnsi"/>
          <w:sz w:val="22"/>
        </w:rPr>
      </w:pPr>
      <w:r>
        <w:rPr>
          <w:rFonts w:asciiTheme="minorHAnsi" w:eastAsiaTheme="minorEastAsia" w:hAnsiTheme="minorHAnsi"/>
          <w:sz w:val="22"/>
        </w:rPr>
        <w:t xml:space="preserve">On September 23, 2023, after </w:t>
      </w:r>
      <w:r w:rsidR="009376E0">
        <w:rPr>
          <w:rFonts w:asciiTheme="minorHAnsi" w:eastAsiaTheme="minorEastAsia" w:hAnsiTheme="minorHAnsi"/>
          <w:sz w:val="22"/>
        </w:rPr>
        <w:t>requirements were effectively stayed for</w:t>
      </w:r>
      <w:r>
        <w:rPr>
          <w:rFonts w:asciiTheme="minorHAnsi" w:eastAsiaTheme="minorEastAsia" w:hAnsiTheme="minorHAnsi"/>
          <w:sz w:val="22"/>
        </w:rPr>
        <w:t xml:space="preserve"> </w:t>
      </w:r>
      <w:r w:rsidR="009376E0">
        <w:rPr>
          <w:rFonts w:asciiTheme="minorHAnsi" w:eastAsiaTheme="minorEastAsia" w:hAnsiTheme="minorHAnsi"/>
          <w:sz w:val="22"/>
        </w:rPr>
        <w:t>numerous states included in the Good Neighbor Plan, EPA issued a</w:t>
      </w:r>
      <w:r w:rsidR="00A4613A">
        <w:rPr>
          <w:rFonts w:asciiTheme="minorHAnsi" w:eastAsiaTheme="minorEastAsia" w:hAnsiTheme="minorHAnsi"/>
          <w:sz w:val="22"/>
        </w:rPr>
        <w:t>n interim final rule to adjust the rule to account for the judicial developments.</w:t>
      </w:r>
      <w:r w:rsidR="005328BB">
        <w:rPr>
          <w:rFonts w:asciiTheme="minorHAnsi" w:eastAsiaTheme="minorEastAsia" w:hAnsiTheme="minorHAnsi"/>
          <w:sz w:val="22"/>
        </w:rPr>
        <w:t xml:space="preserve"> For Alabama, the state will be placed back in Group 2 and will re</w:t>
      </w:r>
      <w:r w:rsidR="00982DA0">
        <w:rPr>
          <w:rFonts w:asciiTheme="minorHAnsi" w:eastAsiaTheme="minorEastAsia" w:hAnsiTheme="minorHAnsi"/>
          <w:sz w:val="22"/>
        </w:rPr>
        <w:t>t</w:t>
      </w:r>
      <w:r w:rsidR="005328BB">
        <w:rPr>
          <w:rFonts w:asciiTheme="minorHAnsi" w:eastAsiaTheme="minorEastAsia" w:hAnsiTheme="minorHAnsi"/>
          <w:sz w:val="22"/>
        </w:rPr>
        <w:t xml:space="preserve">ain its Groups 2 emission budgets, unit-level allowance provisions, </w:t>
      </w:r>
      <w:r w:rsidR="003A74AD">
        <w:rPr>
          <w:rFonts w:asciiTheme="minorHAnsi" w:eastAsiaTheme="minorEastAsia" w:hAnsiTheme="minorHAnsi"/>
          <w:sz w:val="22"/>
        </w:rPr>
        <w:t xml:space="preserve">and </w:t>
      </w:r>
      <w:r w:rsidR="005328BB">
        <w:rPr>
          <w:rFonts w:asciiTheme="minorHAnsi" w:eastAsiaTheme="minorEastAsia" w:hAnsiTheme="minorHAnsi"/>
          <w:sz w:val="22"/>
        </w:rPr>
        <w:t xml:space="preserve">banked allowance holdings, and will use </w:t>
      </w:r>
      <w:r w:rsidR="003A74AD">
        <w:rPr>
          <w:rFonts w:asciiTheme="minorHAnsi" w:eastAsiaTheme="minorEastAsia" w:hAnsiTheme="minorHAnsi"/>
          <w:sz w:val="22"/>
        </w:rPr>
        <w:t>original Group 2 allowances for compliance.</w:t>
      </w:r>
    </w:p>
    <w:p w14:paraId="24661CEF" w14:textId="4BBBC606" w:rsidR="00323CA1" w:rsidRPr="009857A2" w:rsidRDefault="003A74AD" w:rsidP="000A253B">
      <w:pPr>
        <w:pStyle w:val="ListParagraph"/>
        <w:numPr>
          <w:ilvl w:val="0"/>
          <w:numId w:val="12"/>
        </w:numPr>
        <w:spacing w:before="120" w:after="0"/>
        <w:rPr>
          <w:rFonts w:asciiTheme="minorHAnsi" w:eastAsiaTheme="minorEastAsia" w:hAnsiTheme="minorHAnsi"/>
          <w:sz w:val="22"/>
        </w:rPr>
      </w:pPr>
      <w:r>
        <w:rPr>
          <w:rFonts w:asciiTheme="minorHAnsi" w:eastAsiaTheme="minorEastAsia" w:hAnsiTheme="minorHAnsi"/>
          <w:sz w:val="22"/>
        </w:rPr>
        <w:t>Various c</w:t>
      </w:r>
      <w:r w:rsidR="0062334F">
        <w:rPr>
          <w:rFonts w:asciiTheme="minorHAnsi" w:eastAsiaTheme="minorEastAsia" w:hAnsiTheme="minorHAnsi"/>
          <w:sz w:val="22"/>
        </w:rPr>
        <w:t xml:space="preserve">ourt proceedings related to the state infrastructure </w:t>
      </w:r>
      <w:r w:rsidR="00323CA1">
        <w:rPr>
          <w:rFonts w:asciiTheme="minorHAnsi" w:eastAsiaTheme="minorEastAsia" w:hAnsiTheme="minorHAnsi"/>
          <w:sz w:val="22"/>
        </w:rPr>
        <w:t xml:space="preserve">SIP </w:t>
      </w:r>
      <w:r w:rsidR="0062334F">
        <w:rPr>
          <w:rFonts w:asciiTheme="minorHAnsi" w:eastAsiaTheme="minorEastAsia" w:hAnsiTheme="minorHAnsi"/>
          <w:sz w:val="22"/>
        </w:rPr>
        <w:t xml:space="preserve">disapprovals </w:t>
      </w:r>
      <w:r w:rsidR="00323CA1">
        <w:rPr>
          <w:rFonts w:asciiTheme="minorHAnsi" w:eastAsiaTheme="minorEastAsia" w:hAnsiTheme="minorHAnsi"/>
          <w:sz w:val="22"/>
        </w:rPr>
        <w:t xml:space="preserve">and </w:t>
      </w:r>
      <w:r w:rsidR="0062334F">
        <w:rPr>
          <w:rFonts w:asciiTheme="minorHAnsi" w:eastAsiaTheme="minorEastAsia" w:hAnsiTheme="minorHAnsi"/>
          <w:sz w:val="22"/>
        </w:rPr>
        <w:t xml:space="preserve">the </w:t>
      </w:r>
      <w:r w:rsidR="00323CA1">
        <w:rPr>
          <w:rFonts w:asciiTheme="minorHAnsi" w:eastAsiaTheme="minorEastAsia" w:hAnsiTheme="minorHAnsi"/>
          <w:sz w:val="22"/>
        </w:rPr>
        <w:t xml:space="preserve">Good Neighbor </w:t>
      </w:r>
      <w:r w:rsidR="0062334F">
        <w:rPr>
          <w:rFonts w:asciiTheme="minorHAnsi" w:eastAsiaTheme="minorEastAsia" w:hAnsiTheme="minorHAnsi"/>
          <w:sz w:val="22"/>
        </w:rPr>
        <w:t xml:space="preserve">Plan </w:t>
      </w:r>
      <w:r w:rsidR="00323CA1">
        <w:rPr>
          <w:rFonts w:asciiTheme="minorHAnsi" w:eastAsiaTheme="minorEastAsia" w:hAnsiTheme="minorHAnsi"/>
          <w:sz w:val="22"/>
        </w:rPr>
        <w:t xml:space="preserve">litigation </w:t>
      </w:r>
      <w:r w:rsidR="00446C5A">
        <w:rPr>
          <w:rFonts w:asciiTheme="minorHAnsi" w:eastAsiaTheme="minorEastAsia" w:hAnsiTheme="minorHAnsi"/>
          <w:sz w:val="22"/>
        </w:rPr>
        <w:t xml:space="preserve">are expected to proceed in 2024. </w:t>
      </w:r>
    </w:p>
    <w:p w14:paraId="37AECFB7" w14:textId="12149D15" w:rsidR="00CA448C" w:rsidRPr="00095806" w:rsidRDefault="00B243E6" w:rsidP="00CA448C">
      <w:pPr>
        <w:tabs>
          <w:tab w:val="left" w:pos="1428"/>
          <w:tab w:val="left" w:pos="4716"/>
          <w:tab w:val="left" w:pos="4896"/>
          <w:tab w:val="left" w:pos="6718"/>
        </w:tabs>
        <w:suppressAutoHyphens/>
        <w:spacing w:before="120" w:after="0" w:line="240" w:lineRule="auto"/>
        <w:rPr>
          <w:rFonts w:cs="Arial"/>
          <w:b/>
          <w:bCs/>
          <w:color w:val="C00000"/>
          <w:szCs w:val="24"/>
        </w:rPr>
      </w:pPr>
      <w:r w:rsidRPr="00B243E6">
        <w:rPr>
          <w:rFonts w:asciiTheme="majorHAnsi" w:eastAsiaTheme="majorEastAsia" w:hAnsiTheme="majorHAnsi" w:cstheme="majorBidi"/>
          <w:b/>
          <w:bCs/>
          <w:color w:val="2F5496" w:themeColor="accent1" w:themeShade="BF"/>
          <w:sz w:val="24"/>
          <w:szCs w:val="24"/>
          <w:u w:val="single"/>
        </w:rPr>
        <w:lastRenderedPageBreak/>
        <w:t xml:space="preserve">NOx and SO2 Emissions Allowance Programs </w:t>
      </w:r>
      <w:r w:rsidRPr="00840D0F">
        <w:rPr>
          <w:rFonts w:asciiTheme="majorHAnsi" w:eastAsiaTheme="majorEastAsia" w:hAnsiTheme="majorHAnsi" w:cstheme="majorBidi"/>
          <w:b/>
          <w:bCs/>
          <w:color w:val="2F5496" w:themeColor="accent1" w:themeShade="BF"/>
          <w:sz w:val="24"/>
          <w:szCs w:val="24"/>
          <w:u w:val="single"/>
        </w:rPr>
        <w:t>Compliance Strategy</w:t>
      </w:r>
    </w:p>
    <w:p w14:paraId="486367F0" w14:textId="11A861A2" w:rsidR="00CA448C" w:rsidRPr="00DB7156" w:rsidRDefault="00CA448C" w:rsidP="00CA448C">
      <w:pPr>
        <w:tabs>
          <w:tab w:val="left" w:pos="1428"/>
          <w:tab w:val="left" w:pos="4716"/>
          <w:tab w:val="left" w:pos="4896"/>
          <w:tab w:val="left" w:pos="6718"/>
        </w:tabs>
        <w:suppressAutoHyphens/>
        <w:spacing w:before="120" w:after="0" w:line="240" w:lineRule="auto"/>
        <w:rPr>
          <w:rFonts w:cs="Arial"/>
          <w:color w:val="000080"/>
          <w:u w:val="single"/>
        </w:rPr>
      </w:pPr>
      <w:r w:rsidRPr="0D3382F5">
        <w:rPr>
          <w:rFonts w:cs="Arial"/>
        </w:rPr>
        <w:t xml:space="preserve">Georgia Power’s </w:t>
      </w:r>
      <w:r>
        <w:rPr>
          <w:rFonts w:cs="Arial"/>
        </w:rPr>
        <w:t xml:space="preserve">Acid Rain Program </w:t>
      </w:r>
      <w:r w:rsidRPr="0D3382F5">
        <w:rPr>
          <w:rFonts w:cs="Arial"/>
        </w:rPr>
        <w:t>compliance strategy</w:t>
      </w:r>
      <w:r>
        <w:rPr>
          <w:rFonts w:cs="Arial"/>
        </w:rPr>
        <w:t xml:space="preserve"> initially</w:t>
      </w:r>
      <w:r w:rsidRPr="0D3382F5">
        <w:rPr>
          <w:rFonts w:cs="Arial"/>
        </w:rPr>
        <w:t xml:space="preserve"> relied heavily upon use of low-sulfur coal. However, the strategy </w:t>
      </w:r>
      <w:r>
        <w:rPr>
          <w:rFonts w:cs="Arial"/>
        </w:rPr>
        <w:t xml:space="preserve">transitioned to </w:t>
      </w:r>
      <w:r w:rsidRPr="0D3382F5">
        <w:rPr>
          <w:rFonts w:cs="Arial"/>
        </w:rPr>
        <w:t>rel</w:t>
      </w:r>
      <w:r>
        <w:rPr>
          <w:rFonts w:cs="Arial"/>
        </w:rPr>
        <w:t>y</w:t>
      </w:r>
      <w:r w:rsidRPr="0D3382F5">
        <w:rPr>
          <w:rFonts w:cs="Arial"/>
        </w:rPr>
        <w:t xml:space="preserve"> on </w:t>
      </w:r>
      <w:r w:rsidR="003540B1">
        <w:rPr>
          <w:rFonts w:cs="Arial"/>
        </w:rPr>
        <w:t>scrubbers</w:t>
      </w:r>
      <w:r w:rsidRPr="0D3382F5">
        <w:rPr>
          <w:rFonts w:cs="Arial"/>
        </w:rPr>
        <w:t xml:space="preserve"> for SO</w:t>
      </w:r>
      <w:r w:rsidRPr="0D3382F5">
        <w:rPr>
          <w:rFonts w:cs="Arial"/>
          <w:vertAlign w:val="subscript"/>
        </w:rPr>
        <w:t>2</w:t>
      </w:r>
      <w:r w:rsidRPr="0D3382F5">
        <w:rPr>
          <w:rFonts w:cs="Arial"/>
        </w:rPr>
        <w:t xml:space="preserve"> control</w:t>
      </w:r>
      <w:r>
        <w:rPr>
          <w:rFonts w:cs="Arial"/>
        </w:rPr>
        <w:t xml:space="preserve"> at coal-fired steam units and through firing natural gas and low sulfur content fuel oil at combined-cycle, combustion turbine, and other steam units, which also serves as the CSAPR SO2 compliance strategy</w:t>
      </w:r>
      <w:r w:rsidRPr="0D3382F5">
        <w:rPr>
          <w:rFonts w:cs="Arial"/>
        </w:rPr>
        <w:t xml:space="preserve">. </w:t>
      </w:r>
      <w:r>
        <w:rPr>
          <w:rFonts w:cs="Arial"/>
        </w:rPr>
        <w:t xml:space="preserve"> </w:t>
      </w:r>
      <w:r w:rsidRPr="0D3382F5">
        <w:rPr>
          <w:rFonts w:cs="Arial"/>
        </w:rPr>
        <w:t xml:space="preserve">For purposes of </w:t>
      </w:r>
      <w:r>
        <w:rPr>
          <w:rFonts w:cs="Arial"/>
        </w:rPr>
        <w:t xml:space="preserve">both </w:t>
      </w:r>
      <w:r w:rsidRPr="0D3382F5">
        <w:rPr>
          <w:rFonts w:cs="Arial"/>
        </w:rPr>
        <w:t xml:space="preserve">Acid Rain </w:t>
      </w:r>
      <w:r>
        <w:rPr>
          <w:rFonts w:cs="Arial"/>
        </w:rPr>
        <w:t xml:space="preserve">and CSAPR </w:t>
      </w:r>
      <w:r w:rsidRPr="0D3382F5">
        <w:rPr>
          <w:rFonts w:cs="Arial"/>
        </w:rPr>
        <w:t xml:space="preserve">compliance, Georgia Power currently expects </w:t>
      </w:r>
      <w:r w:rsidRPr="009E265B">
        <w:rPr>
          <w:rFonts w:cs="Arial"/>
        </w:rPr>
        <w:t xml:space="preserve">to continue to utilize its </w:t>
      </w:r>
      <w:r>
        <w:rPr>
          <w:rFonts w:cs="Arial"/>
        </w:rPr>
        <w:t xml:space="preserve">SO2 </w:t>
      </w:r>
      <w:r w:rsidRPr="009E265B">
        <w:rPr>
          <w:rFonts w:cs="Arial"/>
        </w:rPr>
        <w:t xml:space="preserve">annual allowance allocations and banked allowances, as needed, to maintain compliance. </w:t>
      </w:r>
      <w:r>
        <w:rPr>
          <w:rFonts w:cs="Arial"/>
        </w:rPr>
        <w:t xml:space="preserve"> </w:t>
      </w:r>
      <w:r w:rsidRPr="0D3382F5">
        <w:rPr>
          <w:rFonts w:cs="Arial"/>
        </w:rPr>
        <w:t>Under current regulations for the Acid Rain Program</w:t>
      </w:r>
      <w:r>
        <w:rPr>
          <w:rFonts w:cs="Arial"/>
        </w:rPr>
        <w:t xml:space="preserve"> and CSAPR</w:t>
      </w:r>
      <w:r w:rsidRPr="0D3382F5">
        <w:rPr>
          <w:rFonts w:cs="Arial"/>
        </w:rPr>
        <w:t xml:space="preserve">, projections show that </w:t>
      </w:r>
      <w:r w:rsidRPr="009E265B">
        <w:rPr>
          <w:rFonts w:cs="Arial"/>
        </w:rPr>
        <w:t xml:space="preserve">no </w:t>
      </w:r>
      <w:r>
        <w:rPr>
          <w:rFonts w:cs="Arial"/>
        </w:rPr>
        <w:t>Georgia Power</w:t>
      </w:r>
      <w:r w:rsidRPr="009E265B">
        <w:rPr>
          <w:rFonts w:cs="Arial"/>
        </w:rPr>
        <w:t xml:space="preserve"> allowance purchases will be required in the future absent a change in legislation and regulation.</w:t>
      </w:r>
    </w:p>
    <w:p w14:paraId="28972E77" w14:textId="77777777" w:rsidR="00CA448C" w:rsidRDefault="00CA448C" w:rsidP="00CA448C">
      <w:pPr>
        <w:spacing w:before="120" w:after="0" w:line="240" w:lineRule="auto"/>
      </w:pPr>
      <w:bookmarkStart w:id="52" w:name="_Hlk29812769"/>
      <w:r w:rsidRPr="00DB7156">
        <w:t xml:space="preserve">The Georgia Power compliance strategy for </w:t>
      </w:r>
      <w:r>
        <w:t xml:space="preserve">the </w:t>
      </w:r>
      <w:r w:rsidRPr="00DB7156">
        <w:t xml:space="preserve">Acid Rain </w:t>
      </w:r>
      <w:r>
        <w:t xml:space="preserve">Program for NOx </w:t>
      </w:r>
      <w:r w:rsidRPr="00DB7156">
        <w:t>historically consisted of installing low-NO</w:t>
      </w:r>
      <w:r w:rsidRPr="00DB7156">
        <w:rPr>
          <w:vertAlign w:val="subscript"/>
        </w:rPr>
        <w:t>X</w:t>
      </w:r>
      <w:r w:rsidRPr="00DB7156">
        <w:t xml:space="preserve"> burners</w:t>
      </w:r>
      <w:r>
        <w:t xml:space="preserve"> and/or</w:t>
      </w:r>
      <w:r w:rsidRPr="00DB7156">
        <w:t xml:space="preserve"> </w:t>
      </w:r>
      <w:r>
        <w:t>overfire air (“</w:t>
      </w:r>
      <w:r w:rsidRPr="00DB7156">
        <w:t>OFA</w:t>
      </w:r>
      <w:r>
        <w:t>”)</w:t>
      </w:r>
      <w:r w:rsidRPr="00DB7156">
        <w:t xml:space="preserve"> systems</w:t>
      </w:r>
      <w:r>
        <w:t xml:space="preserve"> at coal units and use of the </w:t>
      </w:r>
      <w:r w:rsidRPr="00DB7156">
        <w:t>N</w:t>
      </w:r>
      <w:r>
        <w:t>O</w:t>
      </w:r>
      <w:r w:rsidRPr="00DB7156">
        <w:t>x Averaging Plan</w:t>
      </w:r>
      <w:r>
        <w:t xml:space="preserve"> across the Southern Company coal generation fleet</w:t>
      </w:r>
      <w:r w:rsidRPr="00DB7156">
        <w:t xml:space="preserve">. </w:t>
      </w:r>
      <w:r>
        <w:t xml:space="preserve"> However, after the retirement of all remaining coal units without SCR in 2019, use of the NOx Averaging Plan was no longer necessary.  Therefore, in September of 2019, the Company </w:t>
      </w:r>
      <w:r w:rsidRPr="00774695">
        <w:t>terminated the N</w:t>
      </w:r>
      <w:r>
        <w:t>Ox</w:t>
      </w:r>
      <w:r w:rsidRPr="00774695">
        <w:t xml:space="preserve"> Averaging Plan </w:t>
      </w:r>
      <w:r>
        <w:t>effective January 1, 2020</w:t>
      </w:r>
      <w:r w:rsidRPr="00774695">
        <w:t xml:space="preserve">.  Affected units covered by the regulation </w:t>
      </w:r>
      <w:r>
        <w:t xml:space="preserve">now </w:t>
      </w:r>
      <w:r w:rsidRPr="00774695">
        <w:t xml:space="preserve">demonstrate </w:t>
      </w:r>
      <w:r>
        <w:t xml:space="preserve">ongoing </w:t>
      </w:r>
      <w:r w:rsidRPr="00774695">
        <w:t>compliance through individual Acid Rain Program limits.</w:t>
      </w:r>
      <w:bookmarkEnd w:id="52"/>
    </w:p>
    <w:p w14:paraId="4ADE619F" w14:textId="61BD224A" w:rsidR="00CA448C" w:rsidRPr="00957B8B" w:rsidRDefault="00CA448C" w:rsidP="00CA448C">
      <w:pPr>
        <w:tabs>
          <w:tab w:val="left" w:pos="720"/>
          <w:tab w:val="left" w:pos="1428"/>
          <w:tab w:val="left" w:pos="4716"/>
          <w:tab w:val="left" w:pos="4896"/>
          <w:tab w:val="left" w:pos="6718"/>
        </w:tabs>
        <w:suppressAutoHyphens/>
        <w:spacing w:before="120" w:after="0" w:line="240" w:lineRule="auto"/>
        <w:rPr>
          <w:rFonts w:cs="Arial"/>
          <w:b/>
          <w:bCs/>
          <w:sz w:val="20"/>
          <w:szCs w:val="20"/>
        </w:rPr>
      </w:pPr>
      <w:r w:rsidRPr="00DB7156">
        <w:rPr>
          <w:rFonts w:cs="Arial"/>
          <w:szCs w:val="24"/>
        </w:rPr>
        <w:t xml:space="preserve">The compliance strategy for </w:t>
      </w:r>
      <w:r>
        <w:rPr>
          <w:rFonts w:cs="Arial"/>
          <w:szCs w:val="24"/>
        </w:rPr>
        <w:t xml:space="preserve">the CSAPR </w:t>
      </w:r>
      <w:r w:rsidRPr="00DB7156">
        <w:rPr>
          <w:rFonts w:cs="Arial"/>
          <w:szCs w:val="24"/>
        </w:rPr>
        <w:t>NO</w:t>
      </w:r>
      <w:r w:rsidRPr="00DB7156">
        <w:rPr>
          <w:rFonts w:cs="Arial"/>
          <w:szCs w:val="24"/>
          <w:vertAlign w:val="subscript"/>
        </w:rPr>
        <w:t>X</w:t>
      </w:r>
      <w:r w:rsidRPr="00DB7156">
        <w:rPr>
          <w:rFonts w:cs="Arial"/>
          <w:szCs w:val="24"/>
        </w:rPr>
        <w:t xml:space="preserve"> program</w:t>
      </w:r>
      <w:r>
        <w:rPr>
          <w:rFonts w:cs="Arial"/>
          <w:szCs w:val="24"/>
        </w:rPr>
        <w:t>s</w:t>
      </w:r>
      <w:r w:rsidRPr="00DB7156">
        <w:rPr>
          <w:rFonts w:cs="Arial"/>
          <w:szCs w:val="24"/>
        </w:rPr>
        <w:t xml:space="preserve"> rel</w:t>
      </w:r>
      <w:r>
        <w:rPr>
          <w:rFonts w:cs="Arial"/>
          <w:szCs w:val="24"/>
        </w:rPr>
        <w:t>y</w:t>
      </w:r>
      <w:r w:rsidRPr="00DB7156">
        <w:rPr>
          <w:rFonts w:cs="Arial"/>
          <w:szCs w:val="24"/>
        </w:rPr>
        <w:t xml:space="preserve"> on SCRs </w:t>
      </w:r>
      <w:r>
        <w:rPr>
          <w:rFonts w:cs="Arial"/>
          <w:szCs w:val="24"/>
        </w:rPr>
        <w:t>and low NOx burners</w:t>
      </w:r>
      <w:r w:rsidRPr="00DB7156">
        <w:rPr>
          <w:rFonts w:cs="Arial"/>
          <w:szCs w:val="24"/>
        </w:rPr>
        <w:t xml:space="preserve"> for NO</w:t>
      </w:r>
      <w:r w:rsidRPr="00DB7156">
        <w:rPr>
          <w:rFonts w:cs="Arial"/>
          <w:szCs w:val="24"/>
          <w:vertAlign w:val="subscript"/>
        </w:rPr>
        <w:t>X</w:t>
      </w:r>
      <w:r w:rsidRPr="00DB7156">
        <w:rPr>
          <w:rFonts w:cs="Arial"/>
          <w:szCs w:val="24"/>
        </w:rPr>
        <w:t xml:space="preserve"> control. </w:t>
      </w:r>
      <w:r>
        <w:rPr>
          <w:rFonts w:cs="Arial"/>
          <w:szCs w:val="24"/>
        </w:rPr>
        <w:t xml:space="preserve"> </w:t>
      </w:r>
      <w:r w:rsidRPr="00AC20C4">
        <w:rPr>
          <w:rFonts w:cs="Arial"/>
          <w:szCs w:val="24"/>
        </w:rPr>
        <w:t xml:space="preserve">For purposes of CSAPR </w:t>
      </w:r>
      <w:r>
        <w:rPr>
          <w:rFonts w:cs="Arial"/>
          <w:szCs w:val="24"/>
        </w:rPr>
        <w:t xml:space="preserve">NOx </w:t>
      </w:r>
      <w:r w:rsidRPr="00AC20C4">
        <w:rPr>
          <w:rFonts w:cs="Arial"/>
          <w:szCs w:val="24"/>
        </w:rPr>
        <w:t xml:space="preserve">compliance, Georgia Power currently </w:t>
      </w:r>
      <w:r w:rsidRPr="00314F9E">
        <w:rPr>
          <w:rFonts w:cs="Arial"/>
          <w:szCs w:val="24"/>
        </w:rPr>
        <w:t xml:space="preserve">expects </w:t>
      </w:r>
      <w:r w:rsidRPr="009D23D7">
        <w:rPr>
          <w:rFonts w:cs="Arial"/>
          <w:szCs w:val="24"/>
        </w:rPr>
        <w:t xml:space="preserve">to continue to utilize its annual </w:t>
      </w:r>
      <w:r>
        <w:rPr>
          <w:rFonts w:cs="Arial"/>
          <w:szCs w:val="24"/>
        </w:rPr>
        <w:t xml:space="preserve">and ozone season </w:t>
      </w:r>
      <w:r w:rsidRPr="009D23D7">
        <w:rPr>
          <w:rFonts w:cs="Arial"/>
          <w:szCs w:val="24"/>
        </w:rPr>
        <w:t xml:space="preserve">allowance allocations and banked allowances, if needed, to maintain compliance.  </w:t>
      </w:r>
      <w:r w:rsidRPr="00314F9E">
        <w:rPr>
          <w:rFonts w:cs="Arial"/>
          <w:szCs w:val="24"/>
        </w:rPr>
        <w:t>Under current regulations for the CSAPR NO</w:t>
      </w:r>
      <w:r w:rsidRPr="00314F9E">
        <w:rPr>
          <w:rFonts w:cs="Arial"/>
          <w:szCs w:val="24"/>
          <w:vertAlign w:val="subscript"/>
        </w:rPr>
        <w:t>X</w:t>
      </w:r>
      <w:r w:rsidRPr="00314F9E">
        <w:rPr>
          <w:rFonts w:cs="Arial"/>
          <w:szCs w:val="24"/>
        </w:rPr>
        <w:t xml:space="preserve"> trading programs, projections show that </w:t>
      </w:r>
      <w:r w:rsidRPr="009D23D7">
        <w:rPr>
          <w:rFonts w:cs="Arial"/>
          <w:szCs w:val="24"/>
        </w:rPr>
        <w:t xml:space="preserve">no </w:t>
      </w:r>
      <w:r>
        <w:rPr>
          <w:rFonts w:cs="Arial"/>
          <w:szCs w:val="24"/>
        </w:rPr>
        <w:t>Georgia Power</w:t>
      </w:r>
      <w:r w:rsidRPr="009D23D7">
        <w:rPr>
          <w:rFonts w:cs="Arial"/>
          <w:szCs w:val="24"/>
        </w:rPr>
        <w:t xml:space="preserve"> allowance purchases </w:t>
      </w:r>
      <w:r w:rsidRPr="009E265B">
        <w:rPr>
          <w:rFonts w:cs="Arial"/>
        </w:rPr>
        <w:t xml:space="preserve">will be required in the future absent a change in </w:t>
      </w:r>
      <w:r>
        <w:rPr>
          <w:rFonts w:cs="Arial"/>
        </w:rPr>
        <w:t>CSAPR</w:t>
      </w:r>
      <w:r w:rsidRPr="009E265B">
        <w:rPr>
          <w:rFonts w:cs="Arial"/>
        </w:rPr>
        <w:t xml:space="preserve"> legislation and regulation</w:t>
      </w:r>
      <w:r>
        <w:rPr>
          <w:rFonts w:cs="Arial"/>
        </w:rPr>
        <w:t xml:space="preserve">. </w:t>
      </w:r>
      <w:r w:rsidR="004007D8">
        <w:rPr>
          <w:rFonts w:cs="Arial"/>
        </w:rPr>
        <w:t xml:space="preserve">The Company is </w:t>
      </w:r>
      <w:r w:rsidR="005C27A5">
        <w:rPr>
          <w:rFonts w:cs="Arial"/>
        </w:rPr>
        <w:t xml:space="preserve">monitoring the litigation related to </w:t>
      </w:r>
      <w:r w:rsidR="004007D8">
        <w:rPr>
          <w:rFonts w:cs="Arial"/>
        </w:rPr>
        <w:t xml:space="preserve">the final Good Neighbor Plan. </w:t>
      </w:r>
      <w:r w:rsidR="005C27A5">
        <w:rPr>
          <w:rFonts w:cs="Arial"/>
        </w:rPr>
        <w:t xml:space="preserve">If the new requirements come into effect, </w:t>
      </w:r>
      <w:r>
        <w:rPr>
          <w:rFonts w:cs="Arial"/>
        </w:rPr>
        <w:t xml:space="preserve">Plant Gaston </w:t>
      </w:r>
      <w:r w:rsidR="00EC63F2">
        <w:rPr>
          <w:rFonts w:cs="Arial"/>
        </w:rPr>
        <w:t xml:space="preserve">Units 1-4 </w:t>
      </w:r>
      <w:r w:rsidR="004007D8">
        <w:rPr>
          <w:rFonts w:cs="Arial"/>
        </w:rPr>
        <w:t xml:space="preserve">will receive fewer allowances from EPA and </w:t>
      </w:r>
      <w:r>
        <w:rPr>
          <w:rFonts w:cs="Arial"/>
        </w:rPr>
        <w:t xml:space="preserve">may need to </w:t>
      </w:r>
      <w:r w:rsidR="00912DB0">
        <w:rPr>
          <w:rFonts w:cs="Arial"/>
        </w:rPr>
        <w:t>manage</w:t>
      </w:r>
      <w:r>
        <w:rPr>
          <w:rFonts w:cs="Arial"/>
        </w:rPr>
        <w:t xml:space="preserve"> its ozone season NOx emissions</w:t>
      </w:r>
      <w:r w:rsidR="008356F1">
        <w:rPr>
          <w:rFonts w:cs="Arial"/>
        </w:rPr>
        <w:t>, use banked allowances,</w:t>
      </w:r>
      <w:r>
        <w:rPr>
          <w:rFonts w:cs="Arial"/>
        </w:rPr>
        <w:t xml:space="preserve"> or may need to purchase allowances.</w:t>
      </w:r>
    </w:p>
    <w:p w14:paraId="5053FB29" w14:textId="25BA2B54" w:rsidR="00CA448C" w:rsidRPr="00095806" w:rsidRDefault="00CA448C" w:rsidP="00CA448C">
      <w:pPr>
        <w:pStyle w:val="Heading1"/>
        <w:spacing w:before="120" w:after="0"/>
        <w:rPr>
          <w:b/>
          <w:bCs/>
          <w:sz w:val="28"/>
          <w:szCs w:val="28"/>
        </w:rPr>
      </w:pPr>
      <w:bookmarkStart w:id="53" w:name="_Toc130201010"/>
      <w:r w:rsidRPr="00095806">
        <w:rPr>
          <w:b/>
          <w:bCs/>
          <w:sz w:val="28"/>
          <w:szCs w:val="28"/>
        </w:rPr>
        <w:t>2.</w:t>
      </w:r>
      <w:r w:rsidR="00C92C1D">
        <w:rPr>
          <w:b/>
          <w:bCs/>
          <w:sz w:val="28"/>
          <w:szCs w:val="28"/>
        </w:rPr>
        <w:t>3</w:t>
      </w:r>
      <w:r w:rsidRPr="00095806">
        <w:rPr>
          <w:b/>
          <w:bCs/>
          <w:sz w:val="28"/>
          <w:szCs w:val="28"/>
        </w:rPr>
        <w:t>.3 Maximum Achievable Control Technology Regulations</w:t>
      </w:r>
      <w:bookmarkEnd w:id="53"/>
    </w:p>
    <w:p w14:paraId="40D72B09" w14:textId="0B244CEA" w:rsidR="00CA448C" w:rsidRDefault="00D46153" w:rsidP="00CA448C">
      <w:pPr>
        <w:spacing w:before="120" w:after="0" w:line="240" w:lineRule="auto"/>
      </w:pPr>
      <w:r>
        <w:t>T</w:t>
      </w:r>
      <w:r w:rsidR="00CA448C" w:rsidRPr="00DB7156">
        <w:t>he CAA requires regulation of listed Hazardous Air Pollutants (</w:t>
      </w:r>
      <w:r w:rsidR="00CA448C">
        <w:t>“</w:t>
      </w:r>
      <w:r w:rsidR="00CA448C" w:rsidRPr="00DB7156">
        <w:t>HAPs</w:t>
      </w:r>
      <w:r w:rsidR="00CA448C">
        <w:t>”</w:t>
      </w:r>
      <w:r w:rsidR="00CA448C" w:rsidRPr="00DB7156">
        <w:t xml:space="preserve">) and requires implementation of emission limits equivalent to the </w:t>
      </w:r>
      <w:r w:rsidR="00CA448C">
        <w:t>Maximum Achievable Control Technology (“</w:t>
      </w:r>
      <w:r w:rsidR="00CA448C" w:rsidRPr="00DB7156">
        <w:t>MACT</w:t>
      </w:r>
      <w:r w:rsidR="00CA448C">
        <w:t>”)</w:t>
      </w:r>
      <w:r w:rsidR="00CA448C" w:rsidRPr="00DB7156">
        <w:t xml:space="preserve"> for specific source categories, as determined by EPA. </w:t>
      </w:r>
      <w:r w:rsidR="00CA448C">
        <w:t xml:space="preserve">The standards that may apply to power generation units typically include MATS, </w:t>
      </w:r>
      <w:r w:rsidR="00897E93">
        <w:t>the Combustion Turbine</w:t>
      </w:r>
      <w:r w:rsidR="00CA448C">
        <w:t xml:space="preserve"> MACT</w:t>
      </w:r>
      <w:r w:rsidR="00897E93">
        <w:t xml:space="preserve"> (“CT MACT”)</w:t>
      </w:r>
      <w:r w:rsidR="00CA448C">
        <w:t xml:space="preserve">, and </w:t>
      </w:r>
      <w:r w:rsidR="00897E93">
        <w:t xml:space="preserve">the </w:t>
      </w:r>
      <w:r w:rsidR="00CA448C">
        <w:t>Industrial Boiler MACT. Georgia Power owns and operates electric generating units that are subject to MATS and CT MACT, but currently does not own biomass-fired electric generating units that would be subject to the Industrial Boiler MACT.</w:t>
      </w:r>
    </w:p>
    <w:p w14:paraId="199ADBA1" w14:textId="77777777" w:rsidR="00CA448C" w:rsidRPr="00095806" w:rsidRDefault="00CA448C" w:rsidP="00CA448C">
      <w:pPr>
        <w:spacing w:before="120" w:after="0" w:line="240" w:lineRule="auto"/>
        <w:rPr>
          <w:b/>
          <w:bCs/>
        </w:rPr>
      </w:pPr>
      <w:r w:rsidRPr="00095806">
        <w:rPr>
          <w:rFonts w:asciiTheme="majorHAnsi" w:eastAsiaTheme="majorEastAsia" w:hAnsiTheme="majorHAnsi" w:cstheme="majorBidi"/>
          <w:b/>
          <w:bCs/>
          <w:color w:val="2F5496" w:themeColor="accent1" w:themeShade="BF"/>
          <w:sz w:val="24"/>
          <w:szCs w:val="24"/>
        </w:rPr>
        <w:t>MATS (40 CFR 63 Subpart UUUUU)</w:t>
      </w:r>
    </w:p>
    <w:p w14:paraId="64E85D6B" w14:textId="1B3CF562" w:rsidR="00CA448C" w:rsidRPr="00DB7156" w:rsidRDefault="00CA448C" w:rsidP="00CA448C">
      <w:pPr>
        <w:spacing w:before="120" w:after="0" w:line="240" w:lineRule="auto"/>
      </w:pPr>
      <w:r>
        <w:rPr>
          <w:bCs/>
        </w:rPr>
        <w:t xml:space="preserve">EPA’s </w:t>
      </w:r>
      <w:r w:rsidRPr="00DB7156">
        <w:t xml:space="preserve">MATS </w:t>
      </w:r>
      <w:r>
        <w:t>R</w:t>
      </w:r>
      <w:r w:rsidRPr="00DB7156">
        <w:t xml:space="preserve">ule, which was finalized in April 2012, </w:t>
      </w:r>
      <w:r w:rsidRPr="00DB7156">
        <w:rPr>
          <w:bCs/>
        </w:rPr>
        <w:t>is a technology-based</w:t>
      </w:r>
      <w:r>
        <w:rPr>
          <w:bCs/>
        </w:rPr>
        <w:t xml:space="preserve"> rule that</w:t>
      </w:r>
      <w:r w:rsidRPr="00DB7156">
        <w:t xml:space="preserve"> regulates mercury, acid gases and certain metal emissions from coal- and oil-fired </w:t>
      </w:r>
      <w:r>
        <w:t>electric generating units</w:t>
      </w:r>
      <w:r w:rsidRPr="00DB7156">
        <w:t>. MATS establishes stringent emission limits for hazardous air pollutants</w:t>
      </w:r>
      <w:r>
        <w:t xml:space="preserve"> in the form of mercury, hydrogen chlorine (“HCl”) or SO2, and filterable particulate matter or metals</w:t>
      </w:r>
      <w:r w:rsidRPr="00DB7156">
        <w:t xml:space="preserve">. </w:t>
      </w:r>
      <w:r>
        <w:t xml:space="preserve">The </w:t>
      </w:r>
      <w:r w:rsidRPr="00DB7156">
        <w:t xml:space="preserve">compliance deadline for existing sources </w:t>
      </w:r>
      <w:r>
        <w:t>was</w:t>
      </w:r>
      <w:r w:rsidRPr="00DB7156">
        <w:t xml:space="preserve"> April 16, 2015</w:t>
      </w:r>
      <w:r>
        <w:t>, with the possibility of extensions granted on a case-by-case basis. Various Georgia Power units were granted one-year extension</w:t>
      </w:r>
      <w:r w:rsidR="00DB502F">
        <w:t>s</w:t>
      </w:r>
      <w:r>
        <w:t xml:space="preserve"> to install controls or complete necessary transmission work to comply</w:t>
      </w:r>
      <w:r w:rsidR="00DB502F">
        <w:t>.</w:t>
      </w:r>
      <w:r>
        <w:t xml:space="preserve"> </w:t>
      </w:r>
    </w:p>
    <w:p w14:paraId="4154B8F9" w14:textId="0FE8321B" w:rsidR="00CA448C" w:rsidRPr="00680AB0" w:rsidRDefault="00CA448C" w:rsidP="00CA448C">
      <w:pPr>
        <w:spacing w:before="120" w:after="0" w:line="240" w:lineRule="auto"/>
      </w:pPr>
      <w:r>
        <w:t>As a results of legal challenges and court decisions, EPA continued to issue rulemaking</w:t>
      </w:r>
      <w:r w:rsidR="009A36AB">
        <w:t>s</w:t>
      </w:r>
      <w:r>
        <w:t xml:space="preserve"> related to the MATS rule even after the compliance dates had passed. Some of the </w:t>
      </w:r>
      <w:proofErr w:type="gramStart"/>
      <w:r>
        <w:t>MATS</w:t>
      </w:r>
      <w:proofErr w:type="gramEnd"/>
      <w:r>
        <w:t xml:space="preserve"> rulemakings considered the foundational legal basis of the MATS rule. Although rules in 2016 (“Supplemental Finding”) and 2020 (“Reconsideration of Supplemental Finding”) came to diverging conclusions on that legal basis, EPA ultimately decided to leave the standards in place in both cases. As a part of the 2020 rulemaking, EPA also finalized the </w:t>
      </w:r>
      <w:r w:rsidRPr="009A05A8">
        <w:t>Residual Risk and Technology Review (“RTR”)</w:t>
      </w:r>
      <w:r>
        <w:t xml:space="preserve"> for the MATS rule, which is required by the </w:t>
      </w:r>
      <w:r>
        <w:lastRenderedPageBreak/>
        <w:t>Clean Air Act Amendments on a periodic basis</w:t>
      </w:r>
      <w:r>
        <w:rPr>
          <w:i/>
          <w:iCs/>
        </w:rPr>
        <w:t>.</w:t>
      </w:r>
      <w:r w:rsidRPr="00326C04">
        <w:t xml:space="preserve"> </w:t>
      </w:r>
      <w:r w:rsidRPr="00680AB0">
        <w:t xml:space="preserve">EPA concluded in the RTR that the remaining risk </w:t>
      </w:r>
      <w:r w:rsidRPr="2B377831">
        <w:t xml:space="preserve">did </w:t>
      </w:r>
      <w:r w:rsidRPr="00680AB0">
        <w:t>not warrant additional standards and a technology review did not identify any new control technologies that would further reduce emissions beyond the original standard.</w:t>
      </w:r>
      <w:r>
        <w:t xml:space="preserve"> This rule was challenged in the D.C. Circuit Court and was subsequently included in the list of regulations the Biden Administration directed EPA to review via executive order in 2021.</w:t>
      </w:r>
    </w:p>
    <w:p w14:paraId="5A6ED278" w14:textId="1AF048A9" w:rsidR="00837B6C" w:rsidRPr="009F1644" w:rsidRDefault="00C56C7A" w:rsidP="009F1644">
      <w:pPr>
        <w:spacing w:before="120" w:after="0" w:line="240" w:lineRule="auto"/>
      </w:pPr>
      <w:r>
        <w:t>B</w:t>
      </w:r>
      <w:r w:rsidR="00CA448C">
        <w:t xml:space="preserve">oth the 2016 and 2020 rulemakings </w:t>
      </w:r>
      <w:r w:rsidR="00897E93">
        <w:t xml:space="preserve">were </w:t>
      </w:r>
      <w:r>
        <w:t>challenged</w:t>
      </w:r>
      <w:r w:rsidR="00897E93">
        <w:t xml:space="preserve"> </w:t>
      </w:r>
      <w:r>
        <w:t xml:space="preserve">by various parties at </w:t>
      </w:r>
      <w:r w:rsidR="00CA448C">
        <w:t xml:space="preserve">the D.C. Circuit Court, with Georgia Power a party to the 2016 litigation. However, all related litigation was put on hold pending EPA’s completion of its rule reviews. </w:t>
      </w:r>
      <w:r w:rsidR="009F1644">
        <w:t>I</w:t>
      </w:r>
      <w:r w:rsidR="00837B6C" w:rsidRPr="009F1644">
        <w:t xml:space="preserve">n February </w:t>
      </w:r>
      <w:r w:rsidR="009F1644">
        <w:t>2</w:t>
      </w:r>
      <w:r w:rsidR="00837B6C" w:rsidRPr="009F1644">
        <w:t>022, EPA proposed to revoke the Reconsideration of Supplemental Finding that was finalized in 2020, effectively reverting to the 2016 Supplemental Finding for the legal basis of the MATS rule.</w:t>
      </w:r>
    </w:p>
    <w:p w14:paraId="0D8DF36C" w14:textId="2AFD4E2C" w:rsidR="00CA448C" w:rsidRDefault="00CA448C" w:rsidP="00CA448C">
      <w:pPr>
        <w:spacing w:before="120" w:after="0" w:line="240" w:lineRule="auto"/>
        <w:rPr>
          <w:rFonts w:cs="Arial"/>
          <w:b/>
          <w:bCs/>
          <w:szCs w:val="24"/>
        </w:rPr>
      </w:pPr>
      <w:r>
        <w:rPr>
          <w:rFonts w:cs="Arial"/>
          <w:b/>
          <w:bCs/>
          <w:szCs w:val="24"/>
        </w:rPr>
        <w:t>New</w:t>
      </w:r>
      <w:r w:rsidRPr="00232354">
        <w:rPr>
          <w:rFonts w:cs="Arial"/>
          <w:b/>
          <w:bCs/>
          <w:szCs w:val="24"/>
        </w:rPr>
        <w:t xml:space="preserve"> Regulatory Updates</w:t>
      </w:r>
    </w:p>
    <w:p w14:paraId="5527AAB0" w14:textId="0F2045BA" w:rsidR="00F47D96" w:rsidRPr="00AE7185" w:rsidRDefault="00AA4277" w:rsidP="00001A14">
      <w:pPr>
        <w:pStyle w:val="ListParagraph"/>
        <w:numPr>
          <w:ilvl w:val="0"/>
          <w:numId w:val="11"/>
        </w:numPr>
        <w:spacing w:after="0"/>
        <w:rPr>
          <w:rFonts w:asciiTheme="minorHAnsi" w:eastAsiaTheme="minorEastAsia" w:hAnsiTheme="minorHAnsi"/>
          <w:sz w:val="22"/>
        </w:rPr>
      </w:pPr>
      <w:r>
        <w:rPr>
          <w:rFonts w:asciiTheme="minorHAnsi" w:eastAsiaTheme="minorEastAsia" w:hAnsiTheme="minorHAnsi"/>
          <w:sz w:val="22"/>
        </w:rPr>
        <w:t>O</w:t>
      </w:r>
      <w:r w:rsidR="009D5895">
        <w:rPr>
          <w:rFonts w:asciiTheme="minorHAnsi" w:eastAsiaTheme="minorEastAsia" w:hAnsiTheme="minorHAnsi"/>
          <w:sz w:val="22"/>
        </w:rPr>
        <w:t>n March</w:t>
      </w:r>
      <w:r w:rsidR="005F7C24">
        <w:rPr>
          <w:rFonts w:asciiTheme="minorHAnsi" w:eastAsiaTheme="minorEastAsia" w:hAnsiTheme="minorHAnsi"/>
          <w:sz w:val="22"/>
        </w:rPr>
        <w:t xml:space="preserve"> </w:t>
      </w:r>
      <w:r>
        <w:rPr>
          <w:rFonts w:asciiTheme="minorHAnsi" w:eastAsiaTheme="minorEastAsia" w:hAnsiTheme="minorHAnsi"/>
          <w:sz w:val="22"/>
        </w:rPr>
        <w:t xml:space="preserve">6, </w:t>
      </w:r>
      <w:r w:rsidR="005F7C24">
        <w:rPr>
          <w:rFonts w:asciiTheme="minorHAnsi" w:eastAsiaTheme="minorEastAsia" w:hAnsiTheme="minorHAnsi"/>
          <w:sz w:val="22"/>
        </w:rPr>
        <w:t xml:space="preserve">2023, </w:t>
      </w:r>
      <w:r w:rsidR="00F47D96" w:rsidRPr="00AE7185">
        <w:rPr>
          <w:rFonts w:asciiTheme="minorHAnsi" w:eastAsiaTheme="minorEastAsia" w:hAnsiTheme="minorHAnsi"/>
          <w:sz w:val="22"/>
        </w:rPr>
        <w:t>EPA finalize</w:t>
      </w:r>
      <w:r w:rsidR="005F7C24">
        <w:rPr>
          <w:rFonts w:asciiTheme="minorHAnsi" w:eastAsiaTheme="minorEastAsia" w:hAnsiTheme="minorHAnsi"/>
          <w:sz w:val="22"/>
        </w:rPr>
        <w:t>d the</w:t>
      </w:r>
      <w:r w:rsidR="00F47D96" w:rsidRPr="00AE7185">
        <w:rPr>
          <w:rFonts w:asciiTheme="minorHAnsi" w:eastAsiaTheme="minorEastAsia" w:hAnsiTheme="minorHAnsi"/>
          <w:sz w:val="22"/>
        </w:rPr>
        <w:t xml:space="preserve"> </w:t>
      </w:r>
      <w:r w:rsidR="00F47D96">
        <w:rPr>
          <w:rFonts w:asciiTheme="minorHAnsi" w:eastAsiaTheme="minorEastAsia" w:hAnsiTheme="minorHAnsi"/>
          <w:sz w:val="22"/>
        </w:rPr>
        <w:t>revocation of the R</w:t>
      </w:r>
      <w:r w:rsidR="00F47D96" w:rsidRPr="00AE7185">
        <w:rPr>
          <w:rFonts w:asciiTheme="minorHAnsi" w:eastAsiaTheme="minorEastAsia" w:hAnsiTheme="minorHAnsi"/>
          <w:sz w:val="22"/>
        </w:rPr>
        <w:t xml:space="preserve">econsideration of </w:t>
      </w:r>
      <w:r w:rsidR="00F47D96">
        <w:rPr>
          <w:rFonts w:asciiTheme="minorHAnsi" w:eastAsiaTheme="minorEastAsia" w:hAnsiTheme="minorHAnsi"/>
          <w:sz w:val="22"/>
        </w:rPr>
        <w:t>S</w:t>
      </w:r>
      <w:r w:rsidR="00F47D96" w:rsidRPr="00AE7185">
        <w:rPr>
          <w:rFonts w:asciiTheme="minorHAnsi" w:eastAsiaTheme="minorEastAsia" w:hAnsiTheme="minorHAnsi"/>
          <w:sz w:val="22"/>
        </w:rPr>
        <w:t xml:space="preserve">upplemental </w:t>
      </w:r>
      <w:r w:rsidR="00F47D96">
        <w:rPr>
          <w:rFonts w:asciiTheme="minorHAnsi" w:eastAsiaTheme="minorEastAsia" w:hAnsiTheme="minorHAnsi"/>
          <w:sz w:val="22"/>
        </w:rPr>
        <w:t>F</w:t>
      </w:r>
      <w:r w:rsidR="00F47D96" w:rsidRPr="00AE7185">
        <w:rPr>
          <w:rFonts w:asciiTheme="minorHAnsi" w:eastAsiaTheme="minorEastAsia" w:hAnsiTheme="minorHAnsi"/>
          <w:sz w:val="22"/>
        </w:rPr>
        <w:t>inding</w:t>
      </w:r>
      <w:r w:rsidR="005F7C24">
        <w:rPr>
          <w:rFonts w:asciiTheme="minorHAnsi" w:eastAsiaTheme="minorEastAsia" w:hAnsiTheme="minorHAnsi"/>
          <w:sz w:val="22"/>
        </w:rPr>
        <w:t xml:space="preserve"> but made no changes to the emission standards or compliance requirements in the MATS rule.</w:t>
      </w:r>
      <w:r w:rsidR="00B85506">
        <w:rPr>
          <w:rFonts w:asciiTheme="minorHAnsi" w:eastAsiaTheme="minorEastAsia" w:hAnsiTheme="minorHAnsi"/>
          <w:sz w:val="22"/>
        </w:rPr>
        <w:t xml:space="preserve"> </w:t>
      </w:r>
    </w:p>
    <w:p w14:paraId="61DE1A63" w14:textId="73EDF160" w:rsidR="004479C4" w:rsidRPr="004479C4" w:rsidRDefault="00444CE4" w:rsidP="00DC192E">
      <w:pPr>
        <w:pStyle w:val="ListParagraph"/>
        <w:numPr>
          <w:ilvl w:val="0"/>
          <w:numId w:val="11"/>
        </w:numPr>
        <w:spacing w:before="120" w:after="0"/>
        <w:rPr>
          <w:rFonts w:asciiTheme="minorHAnsi" w:eastAsiaTheme="minorEastAsia" w:hAnsiTheme="minorHAnsi"/>
          <w:sz w:val="22"/>
        </w:rPr>
      </w:pPr>
      <w:r w:rsidRPr="004479C4">
        <w:rPr>
          <w:rFonts w:asciiTheme="minorHAnsi" w:eastAsiaTheme="minorEastAsia" w:hAnsiTheme="minorHAnsi"/>
          <w:sz w:val="22"/>
        </w:rPr>
        <w:t xml:space="preserve">On April 24, 2023, </w:t>
      </w:r>
      <w:r w:rsidR="00F47D96" w:rsidRPr="004479C4">
        <w:rPr>
          <w:rFonts w:asciiTheme="minorHAnsi" w:eastAsiaTheme="minorEastAsia" w:hAnsiTheme="minorHAnsi"/>
          <w:sz w:val="22"/>
        </w:rPr>
        <w:t xml:space="preserve">EPA </w:t>
      </w:r>
      <w:r w:rsidRPr="004479C4">
        <w:rPr>
          <w:rFonts w:asciiTheme="minorHAnsi" w:eastAsiaTheme="minorEastAsia" w:hAnsiTheme="minorHAnsi"/>
          <w:sz w:val="22"/>
        </w:rPr>
        <w:t xml:space="preserve">proposed to update the MATS </w:t>
      </w:r>
      <w:r w:rsidR="0059260B" w:rsidRPr="004479C4">
        <w:rPr>
          <w:rFonts w:asciiTheme="minorHAnsi" w:eastAsiaTheme="minorEastAsia" w:hAnsiTheme="minorHAnsi"/>
          <w:sz w:val="22"/>
        </w:rPr>
        <w:t xml:space="preserve">requirements with the MATS Residual Risk and Technology Review </w:t>
      </w:r>
      <w:r w:rsidRPr="004479C4">
        <w:rPr>
          <w:rFonts w:asciiTheme="minorHAnsi" w:eastAsiaTheme="minorEastAsia" w:hAnsiTheme="minorHAnsi"/>
          <w:sz w:val="22"/>
        </w:rPr>
        <w:t>rule</w:t>
      </w:r>
      <w:r w:rsidR="0059260B" w:rsidRPr="004479C4">
        <w:rPr>
          <w:rFonts w:asciiTheme="minorHAnsi" w:eastAsiaTheme="minorEastAsia" w:hAnsiTheme="minorHAnsi"/>
          <w:sz w:val="22"/>
        </w:rPr>
        <w:t xml:space="preserve">. The proposal </w:t>
      </w:r>
      <w:r w:rsidR="004479C4" w:rsidRPr="004479C4">
        <w:rPr>
          <w:rFonts w:asciiTheme="minorHAnsi" w:eastAsiaTheme="minorEastAsia" w:hAnsiTheme="minorHAnsi"/>
          <w:sz w:val="22"/>
        </w:rPr>
        <w:t>would tighten the filterable particulate matter</w:t>
      </w:r>
      <w:r w:rsidR="00021E4A">
        <w:rPr>
          <w:rFonts w:asciiTheme="minorHAnsi" w:eastAsiaTheme="minorEastAsia" w:hAnsiTheme="minorHAnsi"/>
          <w:sz w:val="22"/>
        </w:rPr>
        <w:t xml:space="preserve"> </w:t>
      </w:r>
      <w:r w:rsidR="004479C4" w:rsidRPr="004479C4">
        <w:rPr>
          <w:rFonts w:asciiTheme="minorHAnsi" w:eastAsiaTheme="minorEastAsia" w:hAnsiTheme="minorHAnsi"/>
          <w:sz w:val="22"/>
        </w:rPr>
        <w:t>standard from 0.03 lb/MMBtu to 0.01 lb/MMBtu</w:t>
      </w:r>
      <w:r w:rsidR="00544B3A">
        <w:rPr>
          <w:rFonts w:asciiTheme="minorHAnsi" w:eastAsiaTheme="minorEastAsia" w:hAnsiTheme="minorHAnsi"/>
          <w:sz w:val="22"/>
        </w:rPr>
        <w:t>, while requiring the use of PM continuous emissions monitoring systems (</w:t>
      </w:r>
      <w:r w:rsidR="00C56C7A">
        <w:rPr>
          <w:rFonts w:asciiTheme="minorHAnsi" w:eastAsiaTheme="minorEastAsia" w:hAnsiTheme="minorHAnsi"/>
          <w:sz w:val="22"/>
        </w:rPr>
        <w:t>“</w:t>
      </w:r>
      <w:r w:rsidR="00544B3A">
        <w:rPr>
          <w:rFonts w:asciiTheme="minorHAnsi" w:eastAsiaTheme="minorEastAsia" w:hAnsiTheme="minorHAnsi"/>
          <w:sz w:val="22"/>
        </w:rPr>
        <w:t>CEMS</w:t>
      </w:r>
      <w:r w:rsidR="00C56C7A">
        <w:rPr>
          <w:rFonts w:asciiTheme="minorHAnsi" w:eastAsiaTheme="minorEastAsia" w:hAnsiTheme="minorHAnsi"/>
          <w:sz w:val="22"/>
        </w:rPr>
        <w:t>”</w:t>
      </w:r>
      <w:r w:rsidR="00544B3A">
        <w:rPr>
          <w:rFonts w:asciiTheme="minorHAnsi" w:eastAsiaTheme="minorEastAsia" w:hAnsiTheme="minorHAnsi"/>
          <w:sz w:val="22"/>
        </w:rPr>
        <w:t>)</w:t>
      </w:r>
      <w:r w:rsidR="00B05D3C">
        <w:rPr>
          <w:rFonts w:asciiTheme="minorHAnsi" w:eastAsiaTheme="minorEastAsia" w:hAnsiTheme="minorHAnsi"/>
          <w:sz w:val="22"/>
        </w:rPr>
        <w:t>. S</w:t>
      </w:r>
      <w:r w:rsidR="00021E4A">
        <w:rPr>
          <w:rFonts w:asciiTheme="minorHAnsi" w:eastAsiaTheme="minorEastAsia" w:hAnsiTheme="minorHAnsi"/>
          <w:sz w:val="22"/>
        </w:rPr>
        <w:t xml:space="preserve">tack test </w:t>
      </w:r>
      <w:r w:rsidR="00B05D3C">
        <w:rPr>
          <w:rFonts w:asciiTheme="minorHAnsi" w:eastAsiaTheme="minorEastAsia" w:hAnsiTheme="minorHAnsi"/>
          <w:sz w:val="22"/>
        </w:rPr>
        <w:t xml:space="preserve">compliance </w:t>
      </w:r>
      <w:r w:rsidR="00021E4A">
        <w:rPr>
          <w:rFonts w:asciiTheme="minorHAnsi" w:eastAsiaTheme="minorEastAsia" w:hAnsiTheme="minorHAnsi"/>
          <w:sz w:val="22"/>
        </w:rPr>
        <w:t>options available in the existing rule</w:t>
      </w:r>
      <w:r w:rsidR="00B05D3C">
        <w:rPr>
          <w:rFonts w:asciiTheme="minorHAnsi" w:eastAsiaTheme="minorEastAsia" w:hAnsiTheme="minorHAnsi"/>
          <w:sz w:val="22"/>
        </w:rPr>
        <w:t xml:space="preserve"> would no longer be allowed</w:t>
      </w:r>
      <w:r w:rsidR="00544B3A">
        <w:rPr>
          <w:rFonts w:asciiTheme="minorHAnsi" w:eastAsiaTheme="minorEastAsia" w:hAnsiTheme="minorHAnsi"/>
          <w:sz w:val="22"/>
        </w:rPr>
        <w:t xml:space="preserve">. </w:t>
      </w:r>
    </w:p>
    <w:p w14:paraId="6C6669A3" w14:textId="1E484D18" w:rsidR="00B312D5" w:rsidRDefault="00751DE2" w:rsidP="00DC192E">
      <w:pPr>
        <w:pStyle w:val="ListParagraph"/>
        <w:numPr>
          <w:ilvl w:val="0"/>
          <w:numId w:val="11"/>
        </w:numPr>
        <w:spacing w:before="120" w:after="0"/>
        <w:rPr>
          <w:rFonts w:asciiTheme="minorHAnsi" w:eastAsiaTheme="minorEastAsia" w:hAnsiTheme="minorHAnsi"/>
          <w:sz w:val="22"/>
        </w:rPr>
      </w:pPr>
      <w:r>
        <w:rPr>
          <w:rFonts w:asciiTheme="minorHAnsi" w:eastAsiaTheme="minorEastAsia" w:hAnsiTheme="minorHAnsi"/>
          <w:sz w:val="22"/>
        </w:rPr>
        <w:t>On July 7, 2023,</w:t>
      </w:r>
      <w:r w:rsidR="005A7CF9">
        <w:rPr>
          <w:rFonts w:asciiTheme="minorHAnsi" w:eastAsiaTheme="minorEastAsia" w:hAnsiTheme="minorHAnsi"/>
          <w:sz w:val="22"/>
        </w:rPr>
        <w:t xml:space="preserve"> the D.C. Circuit Court agreed to voluntarily dismiss </w:t>
      </w:r>
      <w:r w:rsidR="00E32600">
        <w:rPr>
          <w:rFonts w:asciiTheme="minorHAnsi" w:eastAsiaTheme="minorEastAsia" w:hAnsiTheme="minorHAnsi"/>
          <w:sz w:val="22"/>
        </w:rPr>
        <w:t>litigation related to both the 2016 and 2020 rulemakings at the request of all parties</w:t>
      </w:r>
      <w:r w:rsidR="00EE33D5">
        <w:rPr>
          <w:rFonts w:asciiTheme="minorHAnsi" w:eastAsiaTheme="minorEastAsia" w:hAnsiTheme="minorHAnsi"/>
          <w:sz w:val="22"/>
        </w:rPr>
        <w:t xml:space="preserve"> </w:t>
      </w:r>
      <w:r w:rsidR="00E12D94">
        <w:rPr>
          <w:rFonts w:asciiTheme="minorHAnsi" w:eastAsiaTheme="minorEastAsia" w:hAnsiTheme="minorHAnsi"/>
          <w:sz w:val="22"/>
        </w:rPr>
        <w:t>involved in</w:t>
      </w:r>
      <w:r w:rsidR="00EE33D5">
        <w:rPr>
          <w:rFonts w:asciiTheme="minorHAnsi" w:eastAsiaTheme="minorEastAsia" w:hAnsiTheme="minorHAnsi"/>
          <w:sz w:val="22"/>
        </w:rPr>
        <w:t xml:space="preserve"> the cases</w:t>
      </w:r>
      <w:r w:rsidR="009350F7">
        <w:rPr>
          <w:rFonts w:asciiTheme="minorHAnsi" w:eastAsiaTheme="minorEastAsia" w:hAnsiTheme="minorHAnsi"/>
          <w:sz w:val="22"/>
        </w:rPr>
        <w:t>.</w:t>
      </w:r>
    </w:p>
    <w:p w14:paraId="5862A494" w14:textId="6A196C8E" w:rsidR="00093582" w:rsidRPr="00021E4A" w:rsidRDefault="00093582" w:rsidP="00DC192E">
      <w:pPr>
        <w:pStyle w:val="ListParagraph"/>
        <w:numPr>
          <w:ilvl w:val="0"/>
          <w:numId w:val="11"/>
        </w:numPr>
        <w:spacing w:before="120" w:after="0"/>
        <w:rPr>
          <w:rFonts w:asciiTheme="minorHAnsi" w:eastAsiaTheme="minorEastAsia" w:hAnsiTheme="minorHAnsi"/>
          <w:sz w:val="22"/>
        </w:rPr>
      </w:pPr>
      <w:r w:rsidRPr="00021E4A">
        <w:rPr>
          <w:rFonts w:asciiTheme="minorHAnsi" w:eastAsiaTheme="minorEastAsia" w:hAnsiTheme="minorHAnsi"/>
          <w:sz w:val="22"/>
        </w:rPr>
        <w:t xml:space="preserve">EPA is scheduled to finalize </w:t>
      </w:r>
      <w:r w:rsidR="00A07714" w:rsidRPr="00021E4A">
        <w:rPr>
          <w:rFonts w:asciiTheme="minorHAnsi" w:eastAsiaTheme="minorEastAsia" w:hAnsiTheme="minorHAnsi"/>
          <w:sz w:val="22"/>
        </w:rPr>
        <w:t xml:space="preserve">the MATS RTR </w:t>
      </w:r>
      <w:r w:rsidRPr="00021E4A">
        <w:rPr>
          <w:rFonts w:asciiTheme="minorHAnsi" w:eastAsiaTheme="minorEastAsia" w:hAnsiTheme="minorHAnsi"/>
          <w:sz w:val="22"/>
        </w:rPr>
        <w:t>in the spring of 2024.</w:t>
      </w:r>
    </w:p>
    <w:p w14:paraId="2F82886F" w14:textId="77777777" w:rsidR="00CA448C" w:rsidRPr="00095806" w:rsidRDefault="00CA448C" w:rsidP="00CA448C">
      <w:pPr>
        <w:spacing w:before="120" w:after="0" w:line="240" w:lineRule="auto"/>
        <w:rPr>
          <w:b/>
          <w:bCs/>
        </w:rPr>
      </w:pPr>
      <w:r w:rsidRPr="00095806">
        <w:rPr>
          <w:rFonts w:asciiTheme="majorHAnsi" w:eastAsiaTheme="majorEastAsia" w:hAnsiTheme="majorHAnsi" w:cstheme="majorBidi"/>
          <w:b/>
          <w:bCs/>
          <w:color w:val="2F5496" w:themeColor="accent1" w:themeShade="BF"/>
          <w:sz w:val="24"/>
          <w:szCs w:val="24"/>
        </w:rPr>
        <w:t>Combustion Turbine Maximum Achievable Control Technology (40 CFR 63 Subpart YYYY)</w:t>
      </w:r>
    </w:p>
    <w:p w14:paraId="3DB8DC99" w14:textId="0A51EF7B" w:rsidR="00CA448C" w:rsidRPr="00D75FD4" w:rsidRDefault="00CA448C" w:rsidP="00CA448C">
      <w:pPr>
        <w:spacing w:before="120" w:after="0" w:line="240" w:lineRule="auto"/>
        <w:rPr>
          <w:bCs/>
        </w:rPr>
      </w:pPr>
      <w:r w:rsidRPr="00DB7156">
        <w:t xml:space="preserve">Simple-cycle and combined-cycle combustion turbines can </w:t>
      </w:r>
      <w:r>
        <w:t>also</w:t>
      </w:r>
      <w:r w:rsidRPr="00DB7156">
        <w:t xml:space="preserve"> be subject to existing </w:t>
      </w:r>
      <w:r>
        <w:t xml:space="preserve">HAPs emission standards and </w:t>
      </w:r>
      <w:r w:rsidRPr="00DB7156">
        <w:t>requirements</w:t>
      </w:r>
      <w:r>
        <w:t xml:space="preserve">.  </w:t>
      </w:r>
      <w:r w:rsidRPr="76E8101A">
        <w:rPr>
          <w:rFonts w:eastAsia="Calibri" w:cs="Arial"/>
        </w:rPr>
        <w:t>In March 2004</w:t>
      </w:r>
      <w:r w:rsidRPr="3A1EBFD3">
        <w:rPr>
          <w:rFonts w:eastAsia="Calibri" w:cs="Arial"/>
        </w:rPr>
        <w:t>,</w:t>
      </w:r>
      <w:r w:rsidRPr="76E8101A">
        <w:rPr>
          <w:rFonts w:eastAsia="Calibri" w:cs="Arial"/>
        </w:rPr>
        <w:t xml:space="preserve"> EPA issued a final </w:t>
      </w:r>
      <w:r w:rsidR="00C56C7A">
        <w:rPr>
          <w:rFonts w:eastAsia="Calibri" w:cs="Arial"/>
        </w:rPr>
        <w:t xml:space="preserve">CT MACT </w:t>
      </w:r>
      <w:r w:rsidRPr="76E8101A">
        <w:rPr>
          <w:rFonts w:eastAsia="Calibri" w:cs="Arial"/>
        </w:rPr>
        <w:t>rule</w:t>
      </w:r>
      <w:r w:rsidRPr="7749C5D3">
        <w:rPr>
          <w:rFonts w:eastAsia="Calibri" w:cs="Arial"/>
        </w:rPr>
        <w:t>,</w:t>
      </w:r>
      <w:r w:rsidRPr="76E8101A">
        <w:rPr>
          <w:rFonts w:eastAsia="Calibri" w:cs="Arial"/>
        </w:rPr>
        <w:t xml:space="preserve"> </w:t>
      </w:r>
      <w:r w:rsidRPr="3A1EBFD3">
        <w:rPr>
          <w:rFonts w:eastAsia="Calibri" w:cs="Arial"/>
        </w:rPr>
        <w:t xml:space="preserve">setting standards for </w:t>
      </w:r>
      <w:r w:rsidRPr="612A07B5">
        <w:rPr>
          <w:rFonts w:eastAsia="Calibri" w:cs="Arial"/>
        </w:rPr>
        <w:t xml:space="preserve">formaldehyde from </w:t>
      </w:r>
      <w:r>
        <w:rPr>
          <w:rFonts w:eastAsia="Calibri" w:cs="Arial"/>
        </w:rPr>
        <w:t xml:space="preserve">new </w:t>
      </w:r>
      <w:r w:rsidRPr="612A07B5">
        <w:rPr>
          <w:rFonts w:eastAsia="Calibri" w:cs="Arial"/>
        </w:rPr>
        <w:t xml:space="preserve">gas and oil-fired combustion turbines. </w:t>
      </w:r>
      <w:r w:rsidRPr="27EF851A">
        <w:rPr>
          <w:rFonts w:eastAsia="Calibri" w:cs="Arial"/>
        </w:rPr>
        <w:t>In August 2004</w:t>
      </w:r>
      <w:r w:rsidRPr="3A1EBFD3">
        <w:rPr>
          <w:rFonts w:eastAsia="Calibri" w:cs="Arial"/>
        </w:rPr>
        <w:t>,</w:t>
      </w:r>
      <w:r w:rsidRPr="27EF851A">
        <w:rPr>
          <w:rFonts w:eastAsia="Calibri" w:cs="Arial"/>
        </w:rPr>
        <w:t xml:space="preserve"> EPA issued a stay for new sources </w:t>
      </w:r>
      <w:r w:rsidRPr="334244A3">
        <w:rPr>
          <w:rFonts w:eastAsia="Calibri" w:cs="Arial"/>
        </w:rPr>
        <w:t>for</w:t>
      </w:r>
      <w:r w:rsidRPr="27EF851A">
        <w:rPr>
          <w:rFonts w:eastAsia="Calibri" w:cs="Arial"/>
        </w:rPr>
        <w:t xml:space="preserve"> </w:t>
      </w:r>
      <w:r w:rsidRPr="3A1EBFD3">
        <w:rPr>
          <w:rFonts w:eastAsia="Calibri" w:cs="Arial"/>
        </w:rPr>
        <w:t xml:space="preserve">gas-fired turbine </w:t>
      </w:r>
      <w:r w:rsidRPr="27EF851A">
        <w:rPr>
          <w:rFonts w:eastAsia="Calibri" w:cs="Arial"/>
        </w:rPr>
        <w:t>subcategories of the rule</w:t>
      </w:r>
      <w:r>
        <w:rPr>
          <w:rFonts w:eastAsia="Calibri" w:cs="Arial"/>
        </w:rPr>
        <w:t xml:space="preserve"> because of ongoing deliberation about whether gas-fired units should be regulated by this rule in the first place</w:t>
      </w:r>
      <w:r w:rsidRPr="27EF851A">
        <w:rPr>
          <w:rFonts w:eastAsia="Calibri" w:cs="Arial"/>
        </w:rPr>
        <w:t xml:space="preserve">. EPA </w:t>
      </w:r>
      <w:r w:rsidR="00667239">
        <w:rPr>
          <w:rFonts w:eastAsia="Calibri" w:cs="Arial"/>
        </w:rPr>
        <w:t xml:space="preserve">took </w:t>
      </w:r>
      <w:r w:rsidRPr="27EF851A">
        <w:rPr>
          <w:rFonts w:eastAsia="Calibri" w:cs="Arial"/>
        </w:rPr>
        <w:t xml:space="preserve">this action to avoid unwarranted expenditures on the installation of emission controls if these </w:t>
      </w:r>
      <w:r w:rsidRPr="3A1EBFD3">
        <w:rPr>
          <w:rFonts w:eastAsia="Calibri" w:cs="Arial"/>
        </w:rPr>
        <w:t xml:space="preserve">gas-fired </w:t>
      </w:r>
      <w:r w:rsidRPr="27EF851A">
        <w:rPr>
          <w:rFonts w:eastAsia="Calibri" w:cs="Arial"/>
        </w:rPr>
        <w:t>subcategories were delisted.</w:t>
      </w:r>
    </w:p>
    <w:p w14:paraId="77F3A97D" w14:textId="77777777" w:rsidR="00CA448C" w:rsidRDefault="00CA448C" w:rsidP="00CA448C">
      <w:pPr>
        <w:spacing w:before="120" w:after="0" w:line="240" w:lineRule="auto"/>
      </w:pPr>
      <w:r w:rsidRPr="00764E94">
        <w:t xml:space="preserve">In </w:t>
      </w:r>
      <w:r>
        <w:t>March 2020</w:t>
      </w:r>
      <w:r w:rsidRPr="00764E94">
        <w:t xml:space="preserve">, EPA </w:t>
      </w:r>
      <w:r>
        <w:t xml:space="preserve">finalized the RTR for combustion turbines, leaving the existing CT MACT standards largely unchanged. In the final rule, </w:t>
      </w:r>
      <w:r w:rsidRPr="004435C5">
        <w:t>EPA determin</w:t>
      </w:r>
      <w:r>
        <w:t>ed</w:t>
      </w:r>
      <w:r w:rsidRPr="004435C5">
        <w:t xml:space="preserve"> that the risks from this source category </w:t>
      </w:r>
      <w:r w:rsidRPr="0F2889DC">
        <w:t>of</w:t>
      </w:r>
      <w:r w:rsidRPr="004435C5">
        <w:t xml:space="preserve"> emissions are acceptable and that the existing NESHAP provides an ample margin of safety to protect public health. EPA also determin</w:t>
      </w:r>
      <w:r>
        <w:t>ed</w:t>
      </w:r>
      <w:r w:rsidRPr="004435C5">
        <w:t xml:space="preserve"> that </w:t>
      </w:r>
      <w:r>
        <w:t>no</w:t>
      </w:r>
      <w:r w:rsidRPr="004435C5">
        <w:t xml:space="preserve"> new cost-effective controls under the technology review would achieve further emissions reductions from the source category.</w:t>
      </w:r>
      <w:r>
        <w:t xml:space="preserve"> With the RTR, </w:t>
      </w:r>
      <w:r w:rsidRPr="004435C5">
        <w:t>the stay of the standards for new gas-fired turbines remain</w:t>
      </w:r>
      <w:r>
        <w:t>ed</w:t>
      </w:r>
      <w:r w:rsidRPr="004435C5">
        <w:t xml:space="preserve"> in place.</w:t>
      </w:r>
    </w:p>
    <w:p w14:paraId="5E60D0DE" w14:textId="31B67443" w:rsidR="005A0EC3" w:rsidRDefault="00CA448C" w:rsidP="008F4F9B">
      <w:pPr>
        <w:spacing w:before="120" w:after="0" w:line="240" w:lineRule="auto"/>
      </w:pPr>
      <w:r>
        <w:t>In</w:t>
      </w:r>
      <w:r w:rsidRPr="612D8CB3">
        <w:t xml:space="preserve"> August </w:t>
      </w:r>
      <w:r>
        <w:t>2020</w:t>
      </w:r>
      <w:r w:rsidRPr="2B377831">
        <w:t>, EPA</w:t>
      </w:r>
      <w:r w:rsidRPr="612D8CB3">
        <w:t xml:space="preserve"> </w:t>
      </w:r>
      <w:r w:rsidRPr="2B377831">
        <w:t xml:space="preserve">granted </w:t>
      </w:r>
      <w:r w:rsidRPr="612D8CB3">
        <w:t xml:space="preserve">a petition for reconsideration of the final </w:t>
      </w:r>
      <w:r>
        <w:t>CT MACT RTR, stating that it intend</w:t>
      </w:r>
      <w:r w:rsidR="00C56C7A">
        <w:t>ed</w:t>
      </w:r>
      <w:r>
        <w:t xml:space="preserve"> </w:t>
      </w:r>
      <w:r w:rsidRPr="612D8CB3">
        <w:t xml:space="preserve">to address the stay of the emission standards </w:t>
      </w:r>
      <w:r>
        <w:t>for new gas-fired turbines</w:t>
      </w:r>
      <w:r w:rsidRPr="612D8CB3">
        <w:t xml:space="preserve"> and the lack of standards for certain </w:t>
      </w:r>
      <w:r>
        <w:t>HAPs not currently covered by the rule</w:t>
      </w:r>
      <w:r w:rsidRPr="612D8CB3">
        <w:t>.</w:t>
      </w:r>
      <w:r w:rsidR="0086078A">
        <w:t xml:space="preserve"> In M</w:t>
      </w:r>
      <w:r w:rsidR="00C942D2" w:rsidRPr="0086078A">
        <w:t>arch 2022, EPA lifted the stay on CT MACT standards and requirements for combustion turbines that began construction after the 2003 applicability date defined in the original rule. Although the stay had been in place since 2004, sources were subject to the rule immediately, which set requirements to comply with formaldehyde emission standards and other requirements.</w:t>
      </w:r>
      <w:r w:rsidR="008F4F9B">
        <w:t xml:space="preserve"> </w:t>
      </w:r>
    </w:p>
    <w:p w14:paraId="4FE06C24" w14:textId="4339CD5C" w:rsidR="00C942D2" w:rsidRPr="00F47D96" w:rsidRDefault="005A0EC3" w:rsidP="008F4F9B">
      <w:pPr>
        <w:spacing w:before="120" w:after="0" w:line="240" w:lineRule="auto"/>
      </w:pPr>
      <w:r>
        <w:t>I</w:t>
      </w:r>
      <w:r w:rsidR="008F4F9B">
        <w:t xml:space="preserve">n April 2022, </w:t>
      </w:r>
      <w:r w:rsidR="00C942D2">
        <w:t>EPA issued an Information Collection Request (“</w:t>
      </w:r>
      <w:r w:rsidR="00C942D2" w:rsidRPr="0065768F">
        <w:t>ICR</w:t>
      </w:r>
      <w:r w:rsidR="00C942D2">
        <w:t xml:space="preserve">”) under Section 114 of the Clean Air Act to Georgia Power and other entities to collect data in preparation for the CT MACT RTR reconsideration. The ICR creates a one-time compliance obligation for sources to provide this data and was due back to </w:t>
      </w:r>
      <w:r w:rsidR="00C942D2">
        <w:lastRenderedPageBreak/>
        <w:t>EPA in January 2023. Originally, EPA asked Georgia Power to complete a questionnaire and perform extensive emissions testing at as many as 15 combustion turbine units. After Georgia Power informed EPA of the potential winter reliability concerns and cost impact to customers, EPA agreed to reduce the scope of the ICR to two simple cycle combustion turbines (Plant McIntosh CT1 and CT2) on both oil and natural gas</w:t>
      </w:r>
      <w:r w:rsidR="00C942D2" w:rsidRPr="0065768F">
        <w:t xml:space="preserve"> </w:t>
      </w:r>
      <w:r w:rsidR="00C942D2">
        <w:t>and two combined cycle combustion turbines (Plant McDonough CT4A and CT4B) on natural gas.</w:t>
      </w:r>
    </w:p>
    <w:p w14:paraId="55C6CA18" w14:textId="67B694FF" w:rsidR="00CA448C" w:rsidRDefault="00CA448C" w:rsidP="00CA448C">
      <w:pPr>
        <w:spacing w:before="120" w:after="0" w:line="240" w:lineRule="auto"/>
        <w:rPr>
          <w:rFonts w:cs="Arial"/>
          <w:b/>
          <w:bCs/>
          <w:szCs w:val="24"/>
        </w:rPr>
      </w:pPr>
      <w:r>
        <w:rPr>
          <w:rFonts w:cs="Arial"/>
          <w:b/>
          <w:bCs/>
          <w:szCs w:val="24"/>
        </w:rPr>
        <w:t>New</w:t>
      </w:r>
      <w:r w:rsidRPr="00232354">
        <w:rPr>
          <w:rFonts w:cs="Arial"/>
          <w:b/>
          <w:bCs/>
          <w:szCs w:val="24"/>
        </w:rPr>
        <w:t xml:space="preserve"> Regulatory Updates</w:t>
      </w:r>
    </w:p>
    <w:p w14:paraId="20882B6C" w14:textId="4216AC5B" w:rsidR="00C942D2" w:rsidRPr="00C942D2" w:rsidRDefault="000751DE" w:rsidP="00001A14">
      <w:pPr>
        <w:pStyle w:val="ListParagraph"/>
        <w:numPr>
          <w:ilvl w:val="0"/>
          <w:numId w:val="10"/>
        </w:numPr>
        <w:spacing w:after="0"/>
        <w:rPr>
          <w:rFonts w:asciiTheme="minorHAnsi" w:eastAsiaTheme="minorEastAsia" w:hAnsiTheme="minorHAnsi"/>
          <w:sz w:val="22"/>
        </w:rPr>
      </w:pPr>
      <w:r>
        <w:rPr>
          <w:rFonts w:asciiTheme="minorHAnsi" w:eastAsiaTheme="minorEastAsia" w:hAnsiTheme="minorHAnsi"/>
          <w:sz w:val="22"/>
        </w:rPr>
        <w:t xml:space="preserve">In January 2023, Georgia Power and other companies submitted facility information and emissions testing results to EPA in response to the ICR issued in April 2022. </w:t>
      </w:r>
      <w:r w:rsidR="002A444D">
        <w:rPr>
          <w:rFonts w:asciiTheme="minorHAnsi" w:eastAsiaTheme="minorEastAsia" w:hAnsiTheme="minorHAnsi"/>
          <w:sz w:val="22"/>
        </w:rPr>
        <w:t>EPA’s schedule for review and possible future rulemaking is not yet known.</w:t>
      </w:r>
    </w:p>
    <w:p w14:paraId="4B872A92" w14:textId="6FA17812" w:rsidR="00CA448C" w:rsidRPr="00095806" w:rsidRDefault="00DD219A" w:rsidP="00CA448C">
      <w:pPr>
        <w:tabs>
          <w:tab w:val="left" w:pos="1428"/>
          <w:tab w:val="left" w:pos="4716"/>
          <w:tab w:val="left" w:pos="4896"/>
          <w:tab w:val="left" w:pos="6718"/>
        </w:tabs>
        <w:suppressAutoHyphens/>
        <w:spacing w:before="120" w:after="0" w:line="240" w:lineRule="auto"/>
        <w:rPr>
          <w:rFonts w:cs="Arial"/>
          <w:b/>
          <w:bCs/>
          <w:color w:val="C00000"/>
          <w:szCs w:val="24"/>
        </w:rPr>
      </w:pPr>
      <w:r>
        <w:rPr>
          <w:rFonts w:asciiTheme="majorHAnsi" w:eastAsiaTheme="majorEastAsia" w:hAnsiTheme="majorHAnsi" w:cstheme="majorBidi"/>
          <w:b/>
          <w:bCs/>
          <w:color w:val="2F5496" w:themeColor="accent1" w:themeShade="BF"/>
          <w:sz w:val="24"/>
          <w:szCs w:val="24"/>
          <w:u w:val="single"/>
        </w:rPr>
        <w:t xml:space="preserve">MACT </w:t>
      </w:r>
      <w:r w:rsidRPr="00840D0F">
        <w:rPr>
          <w:rFonts w:asciiTheme="majorHAnsi" w:eastAsiaTheme="majorEastAsia" w:hAnsiTheme="majorHAnsi" w:cstheme="majorBidi"/>
          <w:b/>
          <w:bCs/>
          <w:color w:val="2F5496" w:themeColor="accent1" w:themeShade="BF"/>
          <w:sz w:val="24"/>
          <w:szCs w:val="24"/>
          <w:u w:val="single"/>
        </w:rPr>
        <w:t>Compliance Strategy</w:t>
      </w:r>
    </w:p>
    <w:p w14:paraId="1B78FAC8" w14:textId="0BD6A1E7" w:rsidR="00CA448C" w:rsidRDefault="00CA448C" w:rsidP="00CA448C">
      <w:pPr>
        <w:pStyle w:val="BBBodyTextFlush"/>
        <w:spacing w:before="120" w:after="0"/>
        <w:rPr>
          <w:rFonts w:asciiTheme="minorHAnsi" w:eastAsia="Arial" w:hAnsiTheme="minorHAnsi" w:cs="Arial"/>
          <w:sz w:val="22"/>
        </w:rPr>
      </w:pPr>
      <w:r w:rsidRPr="00C425B0">
        <w:rPr>
          <w:rFonts w:asciiTheme="minorHAnsi" w:eastAsiaTheme="minorEastAsia" w:hAnsiTheme="minorHAnsi" w:cstheme="minorBidi"/>
          <w:sz w:val="22"/>
          <w:szCs w:val="22"/>
        </w:rPr>
        <w:t>Georgia Power</w:t>
      </w:r>
      <w:r>
        <w:rPr>
          <w:rFonts w:asciiTheme="minorHAnsi" w:eastAsiaTheme="minorEastAsia" w:hAnsiTheme="minorHAnsi" w:cstheme="minorBidi"/>
          <w:sz w:val="22"/>
          <w:szCs w:val="22"/>
        </w:rPr>
        <w:t xml:space="preserve">’s compliance strategy for </w:t>
      </w:r>
      <w:r w:rsidRPr="00C425B0">
        <w:rPr>
          <w:rFonts w:asciiTheme="minorHAnsi" w:eastAsiaTheme="minorEastAsia" w:hAnsiTheme="minorHAnsi" w:cstheme="minorBidi"/>
          <w:sz w:val="22"/>
          <w:szCs w:val="22"/>
        </w:rPr>
        <w:t>MATS leverag</w:t>
      </w:r>
      <w:r>
        <w:rPr>
          <w:rFonts w:asciiTheme="minorHAnsi" w:eastAsiaTheme="minorEastAsia" w:hAnsiTheme="minorHAnsi" w:cstheme="minorBidi"/>
          <w:sz w:val="22"/>
          <w:szCs w:val="22"/>
        </w:rPr>
        <w:t>ed</w:t>
      </w:r>
      <w:r w:rsidRPr="00C425B0">
        <w:rPr>
          <w:rFonts w:asciiTheme="minorHAnsi" w:eastAsiaTheme="minorEastAsia" w:hAnsiTheme="minorHAnsi" w:cstheme="minorBidi"/>
          <w:sz w:val="22"/>
          <w:szCs w:val="22"/>
        </w:rPr>
        <w:t xml:space="preserve"> the Company’s research and testing program to make individualized, targeted decisions for each unit that optimizes the available technology while minimizing costs to the customer. </w:t>
      </w:r>
      <w:r>
        <w:rPr>
          <w:rFonts w:asciiTheme="minorHAnsi" w:eastAsiaTheme="minorEastAsia" w:hAnsiTheme="minorHAnsi" w:cstheme="minorBidi"/>
          <w:sz w:val="22"/>
          <w:szCs w:val="22"/>
        </w:rPr>
        <w:t xml:space="preserve">While the existing scrubbers at Plants Bowen were able to achieve compliance with the acid gas or SO2 emission requirements, </w:t>
      </w:r>
      <w:r w:rsidR="00410E33">
        <w:rPr>
          <w:rFonts w:asciiTheme="minorHAnsi" w:eastAsiaTheme="minorEastAsia" w:hAnsiTheme="minorHAnsi" w:cstheme="minorBidi"/>
          <w:sz w:val="22"/>
          <w:szCs w:val="22"/>
        </w:rPr>
        <w:t xml:space="preserve">additional </w:t>
      </w:r>
      <w:r>
        <w:rPr>
          <w:rFonts w:asciiTheme="minorHAnsi" w:eastAsiaTheme="minorEastAsia" w:hAnsiTheme="minorHAnsi" w:cstheme="minorBidi"/>
          <w:sz w:val="22"/>
          <w:szCs w:val="22"/>
        </w:rPr>
        <w:t xml:space="preserve">controls were necessary to comply with mercury and metals or PM limits on a continuous basis. </w:t>
      </w:r>
      <w:r w:rsidRPr="00C425B0">
        <w:rPr>
          <w:rFonts w:asciiTheme="minorHAnsi" w:eastAsiaTheme="minorEastAsia" w:hAnsiTheme="minorHAnsi" w:cstheme="minorBidi"/>
          <w:sz w:val="22"/>
          <w:szCs w:val="22"/>
        </w:rPr>
        <w:t>Therefore,</w:t>
      </w:r>
      <w:r w:rsidRPr="00C425B0" w:rsidDel="00A6734F">
        <w:rPr>
          <w:rFonts w:asciiTheme="minorHAnsi" w:eastAsiaTheme="minorEastAsia" w:hAnsiTheme="minorHAnsi" w:cstheme="minorBidi"/>
          <w:sz w:val="22"/>
          <w:szCs w:val="22"/>
        </w:rPr>
        <w:t xml:space="preserve"> </w:t>
      </w:r>
      <w:r w:rsidRPr="00C425B0">
        <w:rPr>
          <w:rFonts w:asciiTheme="minorHAnsi" w:eastAsiaTheme="minorEastAsia" w:hAnsiTheme="minorHAnsi" w:cstheme="minorBidi"/>
          <w:sz w:val="22"/>
          <w:szCs w:val="22"/>
        </w:rPr>
        <w:t>Georgia Power installed activated carbon and alkali sorbent (e.g., hydrated lime) injections systems on all units at Plants Bowen</w:t>
      </w:r>
      <w:r>
        <w:rPr>
          <w:rFonts w:asciiTheme="minorHAnsi" w:eastAsiaTheme="minorEastAsia" w:hAnsiTheme="minorHAnsi" w:cstheme="minorBidi"/>
          <w:sz w:val="22"/>
          <w:szCs w:val="22"/>
        </w:rPr>
        <w:t xml:space="preserve"> by the compliance deadline of April 2016</w:t>
      </w:r>
      <w:r w:rsidRPr="00C425B0">
        <w:rPr>
          <w:rFonts w:asciiTheme="minorHAnsi" w:eastAsiaTheme="minorEastAsia" w:hAnsiTheme="minorHAnsi" w:cstheme="minorBidi"/>
          <w:sz w:val="22"/>
          <w:szCs w:val="22"/>
        </w:rPr>
        <w:t xml:space="preserve">. In addition, to minimize operational costs associated with the injection systems, Mercury Re-emission Control Systems (“MRCSs”) were also installed at Plant Bowen Units 1-2 to prevent re-emission of mercury once it is captured in the </w:t>
      </w:r>
      <w:r w:rsidR="003540B1">
        <w:rPr>
          <w:rFonts w:asciiTheme="minorHAnsi" w:eastAsiaTheme="minorEastAsia" w:hAnsiTheme="minorHAnsi" w:cstheme="minorBidi"/>
          <w:sz w:val="22"/>
          <w:szCs w:val="22"/>
        </w:rPr>
        <w:t>scrubber</w:t>
      </w:r>
      <w:r>
        <w:rPr>
          <w:rFonts w:asciiTheme="minorHAnsi" w:eastAsiaTheme="minorEastAsia" w:hAnsiTheme="minorHAnsi" w:cstheme="minorBidi"/>
          <w:sz w:val="22"/>
          <w:szCs w:val="22"/>
        </w:rPr>
        <w:t>.</w:t>
      </w:r>
      <w:r w:rsidRPr="00C425B0">
        <w:rPr>
          <w:rFonts w:asciiTheme="minorHAnsi" w:eastAsiaTheme="minorEastAsia" w:hAnsiTheme="minorHAnsi" w:cstheme="minorBidi"/>
          <w:sz w:val="22"/>
          <w:szCs w:val="22"/>
        </w:rPr>
        <w:t xml:space="preserve"> To ensure compliance with the MATS particulate matter limits, optimization of the existing electrostatic precipitators (“ESPs”) was performed at Plant Bowen Units 1-2, while baghouse retrofits were necessary at Plant Bow</w:t>
      </w:r>
      <w:r w:rsidRPr="00F53D92">
        <w:rPr>
          <w:rFonts w:asciiTheme="minorHAnsi" w:eastAsia="Arial" w:hAnsiTheme="minorHAnsi" w:cs="Arial"/>
          <w:sz w:val="22"/>
        </w:rPr>
        <w:t xml:space="preserve">en Units 3-4 to capture additional particulate in the flue gases </w:t>
      </w:r>
      <w:proofErr w:type="gramStart"/>
      <w:r w:rsidRPr="00F53D92">
        <w:rPr>
          <w:rFonts w:asciiTheme="minorHAnsi" w:eastAsia="Arial" w:hAnsiTheme="minorHAnsi" w:cs="Arial"/>
          <w:sz w:val="22"/>
        </w:rPr>
        <w:t>in order to</w:t>
      </w:r>
      <w:proofErr w:type="gramEnd"/>
      <w:r w:rsidRPr="00F53D92">
        <w:rPr>
          <w:rFonts w:asciiTheme="minorHAnsi" w:eastAsia="Arial" w:hAnsiTheme="minorHAnsi" w:cs="Arial"/>
          <w:sz w:val="22"/>
        </w:rPr>
        <w:t xml:space="preserve"> comply.</w:t>
      </w:r>
      <w:r>
        <w:rPr>
          <w:rFonts w:asciiTheme="minorHAnsi" w:eastAsia="Arial" w:hAnsiTheme="minorHAnsi" w:cs="Arial"/>
          <w:sz w:val="22"/>
        </w:rPr>
        <w:t xml:space="preserve"> In addition</w:t>
      </w:r>
      <w:r w:rsidRPr="00F53D92">
        <w:rPr>
          <w:rFonts w:asciiTheme="minorHAnsi" w:eastAsia="Arial" w:hAnsiTheme="minorHAnsi" w:cs="Arial"/>
          <w:sz w:val="22"/>
        </w:rPr>
        <w:t xml:space="preserve">, the Company performed plant-specific optimization projects </w:t>
      </w:r>
      <w:r>
        <w:rPr>
          <w:rFonts w:asciiTheme="minorHAnsi" w:eastAsia="Arial" w:hAnsiTheme="minorHAnsi" w:cs="Arial"/>
          <w:sz w:val="22"/>
        </w:rPr>
        <w:t xml:space="preserve">at Plants Bowen </w:t>
      </w:r>
      <w:r w:rsidRPr="00F53D92">
        <w:rPr>
          <w:rFonts w:asciiTheme="minorHAnsi" w:eastAsia="Arial" w:hAnsiTheme="minorHAnsi" w:cs="Arial"/>
          <w:sz w:val="22"/>
        </w:rPr>
        <w:t xml:space="preserve">on the existing </w:t>
      </w:r>
      <w:r w:rsidR="003540B1">
        <w:rPr>
          <w:rFonts w:asciiTheme="minorHAnsi" w:eastAsia="Arial" w:hAnsiTheme="minorHAnsi" w:cs="Arial"/>
          <w:sz w:val="22"/>
        </w:rPr>
        <w:t>scrubbers</w:t>
      </w:r>
      <w:r w:rsidRPr="00F53D92">
        <w:rPr>
          <w:rFonts w:asciiTheme="minorHAnsi" w:eastAsia="Arial" w:hAnsiTheme="minorHAnsi" w:cs="Arial"/>
          <w:sz w:val="22"/>
        </w:rPr>
        <w:t xml:space="preserve"> to minimize potential impacts to reliability </w:t>
      </w:r>
      <w:r>
        <w:rPr>
          <w:rFonts w:asciiTheme="minorHAnsi" w:eastAsia="Arial" w:hAnsiTheme="minorHAnsi" w:cs="Arial"/>
          <w:sz w:val="22"/>
        </w:rPr>
        <w:t xml:space="preserve">and on </w:t>
      </w:r>
      <w:r w:rsidRPr="00F53D92">
        <w:rPr>
          <w:rFonts w:asciiTheme="minorHAnsi" w:eastAsia="Arial" w:hAnsiTheme="minorHAnsi" w:cs="Arial"/>
          <w:sz w:val="22"/>
        </w:rPr>
        <w:t xml:space="preserve">balance of plant </w:t>
      </w:r>
      <w:r>
        <w:rPr>
          <w:rFonts w:asciiTheme="minorHAnsi" w:eastAsia="Arial" w:hAnsiTheme="minorHAnsi" w:cs="Arial"/>
          <w:sz w:val="22"/>
        </w:rPr>
        <w:t xml:space="preserve">equipment to </w:t>
      </w:r>
      <w:r w:rsidRPr="00F53D92">
        <w:rPr>
          <w:rFonts w:asciiTheme="minorHAnsi" w:eastAsia="Arial" w:hAnsiTheme="minorHAnsi" w:cs="Arial"/>
          <w:sz w:val="22"/>
        </w:rPr>
        <w:t>ensure reliability of mercury, acid gas, and particulate matter controls</w:t>
      </w:r>
      <w:r>
        <w:rPr>
          <w:rFonts w:asciiTheme="minorHAnsi" w:eastAsia="Arial" w:hAnsiTheme="minorHAnsi" w:cs="Arial"/>
          <w:sz w:val="22"/>
        </w:rPr>
        <w:t xml:space="preserve"> </w:t>
      </w:r>
      <w:r w:rsidRPr="00F53D92">
        <w:rPr>
          <w:rFonts w:asciiTheme="minorHAnsi" w:eastAsia="Arial" w:hAnsiTheme="minorHAnsi" w:cs="Arial"/>
          <w:sz w:val="22"/>
        </w:rPr>
        <w:t xml:space="preserve">as a part of the MATS compliance strategy.  </w:t>
      </w:r>
    </w:p>
    <w:p w14:paraId="0B399909" w14:textId="77DAB31C" w:rsidR="00CA448C" w:rsidRDefault="00CA448C" w:rsidP="00CA448C">
      <w:pPr>
        <w:pStyle w:val="BBBodyTextFlush"/>
        <w:spacing w:before="120" w:after="0"/>
        <w:rPr>
          <w:rFonts w:eastAsia="Arial" w:cs="Arial"/>
        </w:rPr>
      </w:pPr>
      <w:r w:rsidRPr="00F53D92">
        <w:rPr>
          <w:rFonts w:asciiTheme="minorHAnsi" w:eastAsia="Arial" w:hAnsiTheme="minorHAnsi" w:cs="Arial"/>
          <w:sz w:val="22"/>
        </w:rPr>
        <w:t xml:space="preserve">For the subbituminous coal-fired units at Plant Scherer, existing controls installed to comply with the Georgia Multipollutant Rule (i.e., </w:t>
      </w:r>
      <w:r w:rsidR="003540B1">
        <w:rPr>
          <w:rFonts w:asciiTheme="minorHAnsi" w:eastAsia="Arial" w:hAnsiTheme="minorHAnsi" w:cs="Arial"/>
          <w:sz w:val="22"/>
        </w:rPr>
        <w:t>scrubber</w:t>
      </w:r>
      <w:r w:rsidRPr="00F53D92">
        <w:rPr>
          <w:rFonts w:asciiTheme="minorHAnsi" w:eastAsia="Arial" w:hAnsiTheme="minorHAnsi" w:cs="Arial"/>
          <w:sz w:val="22"/>
        </w:rPr>
        <w:t xml:space="preserve">, SCR, and baghouse with activated carbon injection (“ACI”)) are used to comply with the MATS limits.  </w:t>
      </w:r>
      <w:r w:rsidRPr="009632C1">
        <w:rPr>
          <w:rFonts w:asciiTheme="minorHAnsi" w:eastAsia="Arial" w:hAnsiTheme="minorHAnsi" w:cs="Arial"/>
          <w:sz w:val="22"/>
        </w:rPr>
        <w:t>Plant Yates Units 6 and 7 and Plant Gaston Units 1-4 switched to natural gas as the primary fuel. By switching to natural gas, these units are no longer subject to MATS because MATS applies only to coal- and oil-fired units. Georgia Power determined that use of natural gas at these plants is the most economic choice for customers and is feasible both from a boiler technology as well as a natural gas fuel supply perspective.</w:t>
      </w:r>
      <w:r w:rsidRPr="2F56D082">
        <w:rPr>
          <w:rFonts w:eastAsia="Arial" w:cs="Arial"/>
        </w:rPr>
        <w:t xml:space="preserve">  </w:t>
      </w:r>
    </w:p>
    <w:p w14:paraId="3BB0A199" w14:textId="3152127E" w:rsidR="00CA448C" w:rsidRDefault="00CA448C" w:rsidP="00CA448C">
      <w:pPr>
        <w:pStyle w:val="BBBodyTextFlush"/>
        <w:spacing w:before="120" w:after="0"/>
        <w:rPr>
          <w:rFonts w:asciiTheme="minorHAnsi" w:eastAsia="Arial" w:hAnsiTheme="minorHAnsi" w:cs="Arial"/>
          <w:sz w:val="22"/>
        </w:rPr>
      </w:pPr>
      <w:r w:rsidRPr="003058D0">
        <w:rPr>
          <w:rFonts w:asciiTheme="minorHAnsi" w:eastAsia="Arial" w:hAnsiTheme="minorHAnsi" w:cs="Arial"/>
          <w:sz w:val="22"/>
        </w:rPr>
        <w:t xml:space="preserve">While the </w:t>
      </w:r>
      <w:r>
        <w:rPr>
          <w:rFonts w:asciiTheme="minorHAnsi" w:eastAsia="Arial" w:hAnsiTheme="minorHAnsi" w:cs="Arial"/>
          <w:sz w:val="22"/>
        </w:rPr>
        <w:t xml:space="preserve">proposed </w:t>
      </w:r>
      <w:r w:rsidRPr="003058D0">
        <w:rPr>
          <w:rFonts w:asciiTheme="minorHAnsi" w:eastAsia="Arial" w:hAnsiTheme="minorHAnsi" w:cs="Arial"/>
          <w:sz w:val="22"/>
        </w:rPr>
        <w:t xml:space="preserve">MATS RTR reconsideration is pending, the Company does not currently anticipate additional controls to comply </w:t>
      </w:r>
      <w:r>
        <w:rPr>
          <w:rFonts w:asciiTheme="minorHAnsi" w:eastAsia="Arial" w:hAnsiTheme="minorHAnsi" w:cs="Arial"/>
          <w:sz w:val="22"/>
        </w:rPr>
        <w:t xml:space="preserve">and projects existing controls to continue to operate in a similar fashion to ensure compliance. </w:t>
      </w:r>
      <w:r w:rsidR="00A26A58">
        <w:rPr>
          <w:rFonts w:asciiTheme="minorHAnsi" w:eastAsia="Arial" w:hAnsiTheme="minorHAnsi" w:cs="Arial"/>
          <w:sz w:val="22"/>
        </w:rPr>
        <w:t>If the MATS RTR is finalized as proposed, t</w:t>
      </w:r>
      <w:r>
        <w:rPr>
          <w:rFonts w:asciiTheme="minorHAnsi" w:eastAsia="Arial" w:hAnsiTheme="minorHAnsi" w:cs="Arial"/>
          <w:sz w:val="22"/>
        </w:rPr>
        <w:t>he Company</w:t>
      </w:r>
      <w:r w:rsidRPr="003058D0">
        <w:rPr>
          <w:rFonts w:asciiTheme="minorHAnsi" w:eastAsia="Arial" w:hAnsiTheme="minorHAnsi" w:cs="Arial"/>
          <w:sz w:val="22"/>
        </w:rPr>
        <w:t xml:space="preserve"> will </w:t>
      </w:r>
      <w:r w:rsidR="00C56C7A">
        <w:rPr>
          <w:rFonts w:asciiTheme="minorHAnsi" w:eastAsia="Arial" w:hAnsiTheme="minorHAnsi" w:cs="Arial"/>
          <w:sz w:val="22"/>
        </w:rPr>
        <w:t xml:space="preserve">be required to </w:t>
      </w:r>
      <w:r w:rsidR="00A26A58">
        <w:rPr>
          <w:rFonts w:asciiTheme="minorHAnsi" w:eastAsia="Arial" w:hAnsiTheme="minorHAnsi" w:cs="Arial"/>
          <w:sz w:val="22"/>
        </w:rPr>
        <w:t>add PM CEMS to coal units within three years</w:t>
      </w:r>
      <w:r w:rsidRPr="003058D0">
        <w:rPr>
          <w:rFonts w:asciiTheme="minorHAnsi" w:eastAsia="Arial" w:hAnsiTheme="minorHAnsi" w:cs="Arial"/>
          <w:sz w:val="22"/>
        </w:rPr>
        <w:t xml:space="preserve">. </w:t>
      </w:r>
    </w:p>
    <w:p w14:paraId="02342E52" w14:textId="6526F991" w:rsidR="00CA448C" w:rsidRDefault="00CA448C" w:rsidP="00CA448C">
      <w:pPr>
        <w:pStyle w:val="BBBodyTextFlush"/>
        <w:spacing w:before="120" w:after="0"/>
        <w:rPr>
          <w:rFonts w:asciiTheme="minorHAnsi" w:eastAsia="Arial" w:hAnsiTheme="minorHAnsi" w:cs="Arial"/>
          <w:sz w:val="22"/>
        </w:rPr>
      </w:pPr>
      <w:r>
        <w:rPr>
          <w:rFonts w:asciiTheme="minorHAnsi" w:eastAsia="Arial" w:hAnsiTheme="minorHAnsi" w:cs="Arial"/>
          <w:sz w:val="22"/>
        </w:rPr>
        <w:t xml:space="preserve">For CT MACT, the lifting of the stay on requirements for natural gas-fired units affected Plants McDonough and McIntosh combined cycle units. However, </w:t>
      </w:r>
      <w:proofErr w:type="gramStart"/>
      <w:r>
        <w:rPr>
          <w:rFonts w:asciiTheme="minorHAnsi" w:eastAsia="Arial" w:hAnsiTheme="minorHAnsi" w:cs="Arial"/>
          <w:sz w:val="22"/>
        </w:rPr>
        <w:t>all of</w:t>
      </w:r>
      <w:proofErr w:type="gramEnd"/>
      <w:r>
        <w:rPr>
          <w:rFonts w:asciiTheme="minorHAnsi" w:eastAsia="Arial" w:hAnsiTheme="minorHAnsi" w:cs="Arial"/>
          <w:sz w:val="22"/>
        </w:rPr>
        <w:t xml:space="preserve"> the affected units were constructed with oxidation catalyst</w:t>
      </w:r>
      <w:r w:rsidR="00BE2322">
        <w:rPr>
          <w:rFonts w:asciiTheme="minorHAnsi" w:eastAsia="Arial" w:hAnsiTheme="minorHAnsi" w:cs="Arial"/>
          <w:sz w:val="22"/>
        </w:rPr>
        <w:t>s</w:t>
      </w:r>
      <w:r>
        <w:rPr>
          <w:rFonts w:asciiTheme="minorHAnsi" w:eastAsia="Arial" w:hAnsiTheme="minorHAnsi" w:cs="Arial"/>
          <w:sz w:val="22"/>
        </w:rPr>
        <w:t>, which are considered state</w:t>
      </w:r>
      <w:r w:rsidR="000F1506">
        <w:rPr>
          <w:rFonts w:asciiTheme="minorHAnsi" w:eastAsia="Arial" w:hAnsiTheme="minorHAnsi" w:cs="Arial"/>
          <w:sz w:val="22"/>
        </w:rPr>
        <w:t>-</w:t>
      </w:r>
      <w:r>
        <w:rPr>
          <w:rFonts w:asciiTheme="minorHAnsi" w:eastAsia="Arial" w:hAnsiTheme="minorHAnsi" w:cs="Arial"/>
          <w:sz w:val="22"/>
        </w:rPr>
        <w:t>of</w:t>
      </w:r>
      <w:r w:rsidR="000F1506">
        <w:rPr>
          <w:rFonts w:asciiTheme="minorHAnsi" w:eastAsia="Arial" w:hAnsiTheme="minorHAnsi" w:cs="Arial"/>
          <w:sz w:val="22"/>
        </w:rPr>
        <w:t>-</w:t>
      </w:r>
      <w:r>
        <w:rPr>
          <w:rFonts w:asciiTheme="minorHAnsi" w:eastAsia="Arial" w:hAnsiTheme="minorHAnsi" w:cs="Arial"/>
          <w:sz w:val="22"/>
        </w:rPr>
        <w:t>the</w:t>
      </w:r>
      <w:r w:rsidR="000F1506">
        <w:rPr>
          <w:rFonts w:asciiTheme="minorHAnsi" w:eastAsia="Arial" w:hAnsiTheme="minorHAnsi" w:cs="Arial"/>
          <w:sz w:val="22"/>
        </w:rPr>
        <w:t>-</w:t>
      </w:r>
      <w:r>
        <w:rPr>
          <w:rFonts w:asciiTheme="minorHAnsi" w:eastAsia="Arial" w:hAnsiTheme="minorHAnsi" w:cs="Arial"/>
          <w:sz w:val="22"/>
        </w:rPr>
        <w:t xml:space="preserve">art controls for formaldehyde. Thus, the units </w:t>
      </w:r>
      <w:proofErr w:type="gramStart"/>
      <w:r>
        <w:rPr>
          <w:rFonts w:asciiTheme="minorHAnsi" w:eastAsia="Arial" w:hAnsiTheme="minorHAnsi" w:cs="Arial"/>
          <w:sz w:val="22"/>
        </w:rPr>
        <w:t>are able to</w:t>
      </w:r>
      <w:proofErr w:type="gramEnd"/>
      <w:r>
        <w:rPr>
          <w:rFonts w:asciiTheme="minorHAnsi" w:eastAsia="Arial" w:hAnsiTheme="minorHAnsi" w:cs="Arial"/>
          <w:sz w:val="22"/>
        </w:rPr>
        <w:t xml:space="preserve"> comply with only minor updates to monitoring equipment and increased </w:t>
      </w:r>
      <w:r w:rsidR="00F13C62">
        <w:rPr>
          <w:rFonts w:asciiTheme="minorHAnsi" w:eastAsia="Arial" w:hAnsiTheme="minorHAnsi" w:cs="Arial"/>
          <w:sz w:val="22"/>
        </w:rPr>
        <w:t xml:space="preserve">testing, </w:t>
      </w:r>
      <w:r>
        <w:rPr>
          <w:rFonts w:asciiTheme="minorHAnsi" w:eastAsia="Arial" w:hAnsiTheme="minorHAnsi" w:cs="Arial"/>
          <w:sz w:val="22"/>
        </w:rPr>
        <w:t>r</w:t>
      </w:r>
      <w:r w:rsidRPr="002E1545">
        <w:rPr>
          <w:rFonts w:asciiTheme="minorHAnsi" w:eastAsia="Arial" w:hAnsiTheme="minorHAnsi" w:cs="Arial"/>
          <w:sz w:val="22"/>
        </w:rPr>
        <w:t>eporting</w:t>
      </w:r>
      <w:r w:rsidR="00F13C62">
        <w:rPr>
          <w:rFonts w:asciiTheme="minorHAnsi" w:eastAsia="Arial" w:hAnsiTheme="minorHAnsi" w:cs="Arial"/>
          <w:sz w:val="22"/>
        </w:rPr>
        <w:t>,</w:t>
      </w:r>
      <w:r w:rsidRPr="002E1545">
        <w:rPr>
          <w:rFonts w:asciiTheme="minorHAnsi" w:eastAsia="Arial" w:hAnsiTheme="minorHAnsi" w:cs="Arial"/>
          <w:sz w:val="22"/>
        </w:rPr>
        <w:t xml:space="preserve"> and recordkeeping obligations. </w:t>
      </w:r>
      <w:r w:rsidR="00183E61" w:rsidRPr="00183E61">
        <w:rPr>
          <w:rFonts w:asciiTheme="minorHAnsi" w:eastAsia="Arial" w:hAnsiTheme="minorHAnsi" w:cs="Arial"/>
          <w:sz w:val="22"/>
        </w:rPr>
        <w:t>The proposed Plant Yates Units 8-10 simple cycle combustion turbines</w:t>
      </w:r>
      <w:r w:rsidR="0096326D">
        <w:rPr>
          <w:rFonts w:asciiTheme="minorHAnsi" w:eastAsia="Arial" w:hAnsiTheme="minorHAnsi" w:cs="Arial"/>
          <w:sz w:val="22"/>
        </w:rPr>
        <w:t xml:space="preserve"> will also </w:t>
      </w:r>
      <w:r w:rsidR="007C75E6">
        <w:rPr>
          <w:rFonts w:asciiTheme="minorHAnsi" w:eastAsia="Arial" w:hAnsiTheme="minorHAnsi" w:cs="Arial"/>
          <w:sz w:val="22"/>
        </w:rPr>
        <w:t xml:space="preserve">include </w:t>
      </w:r>
      <w:r w:rsidR="00F6742A">
        <w:rPr>
          <w:rFonts w:asciiTheme="minorHAnsi" w:eastAsia="Arial" w:hAnsiTheme="minorHAnsi" w:cs="Arial"/>
          <w:sz w:val="22"/>
        </w:rPr>
        <w:t xml:space="preserve">installation and operation of </w:t>
      </w:r>
      <w:r w:rsidR="007C75E6">
        <w:rPr>
          <w:rFonts w:asciiTheme="minorHAnsi" w:eastAsia="Arial" w:hAnsiTheme="minorHAnsi" w:cs="Arial"/>
          <w:sz w:val="22"/>
        </w:rPr>
        <w:t xml:space="preserve">oxidation catalysts and are designed to comply with the </w:t>
      </w:r>
      <w:r w:rsidR="0096326D">
        <w:rPr>
          <w:rFonts w:asciiTheme="minorHAnsi" w:eastAsia="Arial" w:hAnsiTheme="minorHAnsi" w:cs="Arial"/>
          <w:sz w:val="22"/>
        </w:rPr>
        <w:t xml:space="preserve">CT MACT </w:t>
      </w:r>
      <w:r w:rsidR="007C75E6">
        <w:rPr>
          <w:rFonts w:asciiTheme="minorHAnsi" w:eastAsia="Arial" w:hAnsiTheme="minorHAnsi" w:cs="Arial"/>
          <w:sz w:val="22"/>
        </w:rPr>
        <w:t>requirements</w:t>
      </w:r>
      <w:r w:rsidR="000D653A">
        <w:rPr>
          <w:rFonts w:asciiTheme="minorHAnsi" w:eastAsia="Arial" w:hAnsiTheme="minorHAnsi" w:cs="Arial"/>
          <w:sz w:val="22"/>
        </w:rPr>
        <w:t>.</w:t>
      </w:r>
      <w:r w:rsidR="00183E61">
        <w:t xml:space="preserve"> </w:t>
      </w:r>
      <w:r>
        <w:rPr>
          <w:rFonts w:asciiTheme="minorHAnsi" w:eastAsia="Arial" w:hAnsiTheme="minorHAnsi" w:cs="Arial"/>
          <w:sz w:val="22"/>
        </w:rPr>
        <w:t>The Company will monitor developments on the CT MACT rule following the submittal of the ICR information and will refine or update the strategy as needed through the ECS process.</w:t>
      </w:r>
    </w:p>
    <w:p w14:paraId="26E1BB0F" w14:textId="495AF655" w:rsidR="00CA448C" w:rsidRPr="00095806" w:rsidRDefault="00CA448C" w:rsidP="00CA448C">
      <w:pPr>
        <w:pStyle w:val="Heading1"/>
        <w:spacing w:before="120" w:after="0"/>
        <w:rPr>
          <w:b/>
          <w:bCs/>
          <w:sz w:val="32"/>
          <w:szCs w:val="32"/>
        </w:rPr>
      </w:pPr>
      <w:bookmarkStart w:id="54" w:name="_Toc130201011"/>
      <w:r w:rsidRPr="00095806">
        <w:rPr>
          <w:b/>
          <w:bCs/>
          <w:sz w:val="28"/>
          <w:szCs w:val="28"/>
        </w:rPr>
        <w:lastRenderedPageBreak/>
        <w:t>2.</w:t>
      </w:r>
      <w:r w:rsidR="00EA02BD">
        <w:rPr>
          <w:b/>
          <w:bCs/>
          <w:sz w:val="28"/>
          <w:szCs w:val="28"/>
        </w:rPr>
        <w:t>3</w:t>
      </w:r>
      <w:r w:rsidRPr="00095806">
        <w:rPr>
          <w:b/>
          <w:bCs/>
          <w:sz w:val="28"/>
          <w:szCs w:val="28"/>
        </w:rPr>
        <w:t>.4 Regional Haze Regulations (40 CFR 51.308)</w:t>
      </w:r>
      <w:bookmarkEnd w:id="54"/>
    </w:p>
    <w:p w14:paraId="3CD1FBEE" w14:textId="367AFA76" w:rsidR="00CA448C" w:rsidRPr="00DB7156" w:rsidRDefault="00CA448C" w:rsidP="00CA448C">
      <w:pPr>
        <w:spacing w:before="120" w:after="0" w:line="240" w:lineRule="auto"/>
        <w:rPr>
          <w:color w:val="000000"/>
        </w:rPr>
      </w:pPr>
      <w:r>
        <w:rPr>
          <w:color w:val="000000" w:themeColor="text1"/>
        </w:rPr>
        <w:t>T</w:t>
      </w:r>
      <w:r w:rsidRPr="172F7B2B">
        <w:rPr>
          <w:color w:val="000000" w:themeColor="text1"/>
        </w:rPr>
        <w:t>he Regional Haze Rule</w:t>
      </w:r>
      <w:r>
        <w:rPr>
          <w:color w:val="000000" w:themeColor="text1"/>
        </w:rPr>
        <w:t xml:space="preserve"> was finalized in July 1999 with the goal</w:t>
      </w:r>
      <w:r w:rsidRPr="172F7B2B" w:rsidDel="00D30DF8">
        <w:rPr>
          <w:color w:val="000000" w:themeColor="text1"/>
        </w:rPr>
        <w:t xml:space="preserve"> </w:t>
      </w:r>
      <w:r w:rsidRPr="172F7B2B">
        <w:rPr>
          <w:color w:val="000000" w:themeColor="text1"/>
        </w:rPr>
        <w:t>to</w:t>
      </w:r>
      <w:r>
        <w:rPr>
          <w:color w:val="000000" w:themeColor="text1"/>
        </w:rPr>
        <w:t xml:space="preserve"> improve</w:t>
      </w:r>
      <w:r w:rsidRPr="172F7B2B" w:rsidDel="00D30DF8">
        <w:rPr>
          <w:color w:val="000000" w:themeColor="text1"/>
        </w:rPr>
        <w:t xml:space="preserve"> </w:t>
      </w:r>
      <w:r w:rsidRPr="172F7B2B">
        <w:rPr>
          <w:color w:val="000000" w:themeColor="text1"/>
        </w:rPr>
        <w:t xml:space="preserve">visibility conditions in specified </w:t>
      </w:r>
      <w:r>
        <w:rPr>
          <w:color w:val="000000" w:themeColor="text1"/>
        </w:rPr>
        <w:t xml:space="preserve">federal </w:t>
      </w:r>
      <w:r w:rsidRPr="172F7B2B">
        <w:rPr>
          <w:color w:val="000000" w:themeColor="text1"/>
        </w:rPr>
        <w:t xml:space="preserve">Class </w:t>
      </w:r>
      <w:r>
        <w:rPr>
          <w:color w:val="000000" w:themeColor="text1"/>
        </w:rPr>
        <w:t>I</w:t>
      </w:r>
      <w:r w:rsidRPr="172F7B2B">
        <w:rPr>
          <w:color w:val="000000" w:themeColor="text1"/>
        </w:rPr>
        <w:t xml:space="preserve"> areas</w:t>
      </w:r>
      <w:r>
        <w:rPr>
          <w:color w:val="000000" w:themeColor="text1"/>
        </w:rPr>
        <w:t>,</w:t>
      </w:r>
      <w:r w:rsidRPr="172F7B2B">
        <w:rPr>
          <w:color w:val="000000" w:themeColor="text1"/>
        </w:rPr>
        <w:t xml:space="preserve"> </w:t>
      </w:r>
      <w:r>
        <w:rPr>
          <w:color w:val="000000" w:themeColor="text1"/>
        </w:rPr>
        <w:t xml:space="preserve">including </w:t>
      </w:r>
      <w:r w:rsidRPr="172F7B2B">
        <w:rPr>
          <w:color w:val="000000" w:themeColor="text1"/>
        </w:rPr>
        <w:t>primarily national parks and wilderness areas</w:t>
      </w:r>
      <w:r>
        <w:rPr>
          <w:color w:val="000000" w:themeColor="text1"/>
        </w:rPr>
        <w:t>, back to natural conditions by 2064</w:t>
      </w:r>
      <w:r w:rsidRPr="172F7B2B">
        <w:rPr>
          <w:color w:val="000000" w:themeColor="text1"/>
        </w:rPr>
        <w:t xml:space="preserve">. The rule </w:t>
      </w:r>
      <w:r>
        <w:rPr>
          <w:color w:val="000000" w:themeColor="text1"/>
        </w:rPr>
        <w:t xml:space="preserve">requires states to develop a SIP to determine and address any </w:t>
      </w:r>
      <w:r w:rsidRPr="00A05073">
        <w:rPr>
          <w:color w:val="000000" w:themeColor="text1"/>
        </w:rPr>
        <w:t>SO</w:t>
      </w:r>
      <w:r w:rsidRPr="00A05073">
        <w:rPr>
          <w:color w:val="000000" w:themeColor="text1"/>
          <w:vertAlign w:val="subscript"/>
        </w:rPr>
        <w:t>2</w:t>
      </w:r>
      <w:r>
        <w:rPr>
          <w:color w:val="000000" w:themeColor="text1"/>
        </w:rPr>
        <w:t xml:space="preserve"> or NO</w:t>
      </w:r>
      <w:r w:rsidRPr="00A05073">
        <w:rPr>
          <w:color w:val="000000" w:themeColor="text1"/>
          <w:vertAlign w:val="subscript"/>
        </w:rPr>
        <w:t>X</w:t>
      </w:r>
      <w:r>
        <w:rPr>
          <w:color w:val="000000" w:themeColor="text1"/>
        </w:rPr>
        <w:t xml:space="preserve"> emissions control measures necessary to make reasonable progress toward natural visibility conditions for each 10-year planning period.  The first implementation period involved the </w:t>
      </w:r>
      <w:r w:rsidRPr="172F7B2B">
        <w:rPr>
          <w:color w:val="000000" w:themeColor="text1"/>
        </w:rPr>
        <w:t xml:space="preserve">application of </w:t>
      </w:r>
      <w:r>
        <w:rPr>
          <w:color w:val="000000" w:themeColor="text1"/>
        </w:rPr>
        <w:t>best available retrofit technology (</w:t>
      </w:r>
      <w:r w:rsidR="00643544">
        <w:rPr>
          <w:color w:val="000000" w:themeColor="text1"/>
        </w:rPr>
        <w:t>“</w:t>
      </w:r>
      <w:r w:rsidRPr="172F7B2B">
        <w:rPr>
          <w:color w:val="000000" w:themeColor="text1"/>
        </w:rPr>
        <w:t>BART</w:t>
      </w:r>
      <w:r w:rsidR="00643544">
        <w:rPr>
          <w:color w:val="000000" w:themeColor="text1"/>
        </w:rPr>
        <w:t>”</w:t>
      </w:r>
      <w:r>
        <w:rPr>
          <w:color w:val="000000" w:themeColor="text1"/>
        </w:rPr>
        <w:t>) requirements, which</w:t>
      </w:r>
      <w:r w:rsidRPr="172F7B2B">
        <w:rPr>
          <w:color w:val="000000" w:themeColor="text1"/>
        </w:rPr>
        <w:t xml:space="preserve"> </w:t>
      </w:r>
      <w:r>
        <w:rPr>
          <w:color w:val="000000" w:themeColor="text1"/>
        </w:rPr>
        <w:t xml:space="preserve">was determined to be satisfied for power plants by CSAPR requirements for </w:t>
      </w:r>
      <w:r w:rsidRPr="00473892">
        <w:rPr>
          <w:color w:val="000000" w:themeColor="text1"/>
        </w:rPr>
        <w:t>SO</w:t>
      </w:r>
      <w:r w:rsidRPr="00473892">
        <w:rPr>
          <w:color w:val="000000" w:themeColor="text1"/>
          <w:vertAlign w:val="subscript"/>
        </w:rPr>
        <w:t>2</w:t>
      </w:r>
      <w:r>
        <w:rPr>
          <w:color w:val="000000" w:themeColor="text1"/>
        </w:rPr>
        <w:t xml:space="preserve"> and NOx. </w:t>
      </w:r>
      <w:r w:rsidDel="00664FDA">
        <w:t xml:space="preserve">  </w:t>
      </w:r>
    </w:p>
    <w:p w14:paraId="5EBA9CE5" w14:textId="77777777" w:rsidR="00CA448C" w:rsidRPr="00764E94" w:rsidRDefault="00CA448C" w:rsidP="00CA448C">
      <w:pPr>
        <w:spacing w:before="120" w:after="0" w:line="240" w:lineRule="auto"/>
        <w:rPr>
          <w:rFonts w:eastAsia="Times New Roman"/>
        </w:rPr>
      </w:pPr>
      <w:r>
        <w:rPr>
          <w:color w:val="000000"/>
        </w:rPr>
        <w:t>I</w:t>
      </w:r>
      <w:r w:rsidRPr="00DB7156">
        <w:rPr>
          <w:color w:val="000000"/>
        </w:rPr>
        <w:t xml:space="preserve">n January 2017, EPA finalized revisions to the second planning period under the </w:t>
      </w:r>
      <w:r>
        <w:rPr>
          <w:color w:val="000000"/>
        </w:rPr>
        <w:t>R</w:t>
      </w:r>
      <w:r w:rsidRPr="00DB7156">
        <w:rPr>
          <w:color w:val="000000"/>
        </w:rPr>
        <w:t xml:space="preserve">egional </w:t>
      </w:r>
      <w:r>
        <w:rPr>
          <w:color w:val="000000"/>
        </w:rPr>
        <w:t>H</w:t>
      </w:r>
      <w:r w:rsidRPr="00DB7156">
        <w:rPr>
          <w:color w:val="000000"/>
        </w:rPr>
        <w:t xml:space="preserve">aze </w:t>
      </w:r>
      <w:r>
        <w:rPr>
          <w:color w:val="000000"/>
        </w:rPr>
        <w:t>R</w:t>
      </w:r>
      <w:r w:rsidRPr="00DB7156">
        <w:rPr>
          <w:color w:val="000000"/>
        </w:rPr>
        <w:t xml:space="preserve">ule, </w:t>
      </w:r>
      <w:r>
        <w:rPr>
          <w:color w:val="000000"/>
        </w:rPr>
        <w:t xml:space="preserve">which covers through the year </w:t>
      </w:r>
      <w:r w:rsidRPr="00DB7156">
        <w:rPr>
          <w:color w:val="000000"/>
        </w:rPr>
        <w:t>2028</w:t>
      </w:r>
      <w:r>
        <w:rPr>
          <w:color w:val="000000"/>
        </w:rPr>
        <w:t>.  These</w:t>
      </w:r>
      <w:r w:rsidRPr="00DB7156">
        <w:rPr>
          <w:color w:val="000000"/>
        </w:rPr>
        <w:t xml:space="preserve"> </w:t>
      </w:r>
      <w:r>
        <w:rPr>
          <w:color w:val="000000"/>
        </w:rPr>
        <w:t xml:space="preserve">revisions </w:t>
      </w:r>
      <w:r w:rsidRPr="00DB7156">
        <w:rPr>
          <w:color w:val="000000"/>
        </w:rPr>
        <w:t>include</w:t>
      </w:r>
      <w:r>
        <w:rPr>
          <w:color w:val="000000"/>
        </w:rPr>
        <w:t>d</w:t>
      </w:r>
      <w:r w:rsidRPr="00DB7156">
        <w:rPr>
          <w:color w:val="000000"/>
        </w:rPr>
        <w:t xml:space="preserve"> </w:t>
      </w:r>
      <w:r>
        <w:rPr>
          <w:color w:val="000000"/>
        </w:rPr>
        <w:t xml:space="preserve">the </w:t>
      </w:r>
      <w:r w:rsidRPr="00DB7156">
        <w:rPr>
          <w:color w:val="000000"/>
        </w:rPr>
        <w:t>extension of the deadline for the SIP submittal from July 2018 to July 2021 and increased requirements for state consultations with F</w:t>
      </w:r>
      <w:r>
        <w:rPr>
          <w:color w:val="000000"/>
        </w:rPr>
        <w:t>ederal Land Managers</w:t>
      </w:r>
      <w:r w:rsidRPr="00DB7156">
        <w:rPr>
          <w:color w:val="000000"/>
        </w:rPr>
        <w:t xml:space="preserve">. </w:t>
      </w:r>
      <w:r>
        <w:rPr>
          <w:color w:val="000000"/>
        </w:rPr>
        <w:t xml:space="preserve"> In addition to this rulemaking, EPA has released guidance documents for Regional Haze SIP development for the second implementation period in 2016, 2019, and 2021, changing course in at least certain elements each time. </w:t>
      </w:r>
    </w:p>
    <w:p w14:paraId="3821E950" w14:textId="26E75610" w:rsidR="00CA448C" w:rsidRPr="008520F4" w:rsidRDefault="00CA448C" w:rsidP="00CA448C">
      <w:pPr>
        <w:spacing w:before="120" w:after="0" w:line="240" w:lineRule="auto"/>
        <w:rPr>
          <w:b/>
          <w:bCs/>
          <w:color w:val="000080"/>
        </w:rPr>
      </w:pPr>
      <w:r w:rsidRPr="6ED84A44">
        <w:rPr>
          <w:rFonts w:cs="Arial"/>
        </w:rPr>
        <w:t xml:space="preserve">For </w:t>
      </w:r>
      <w:r>
        <w:rPr>
          <w:rFonts w:cs="Arial"/>
        </w:rPr>
        <w:t xml:space="preserve">the </w:t>
      </w:r>
      <w:r w:rsidRPr="6ED84A44">
        <w:rPr>
          <w:rFonts w:cs="Arial"/>
        </w:rPr>
        <w:t>Regional Haze</w:t>
      </w:r>
      <w:r>
        <w:rPr>
          <w:rFonts w:cs="Arial"/>
        </w:rPr>
        <w:t xml:space="preserve"> Rule</w:t>
      </w:r>
      <w:r w:rsidRPr="6ED84A44">
        <w:rPr>
          <w:rFonts w:cs="Arial"/>
        </w:rPr>
        <w:t xml:space="preserve">, Georgia EPD has ongoing participation in a regional planning organization for the Southeast U.S., which assessed ambient air quality data for the 2028 planning period. </w:t>
      </w:r>
      <w:r>
        <w:rPr>
          <w:rFonts w:cs="Arial"/>
        </w:rPr>
        <w:t xml:space="preserve"> </w:t>
      </w:r>
      <w:r w:rsidRPr="6ED84A44">
        <w:rPr>
          <w:rFonts w:cs="Arial"/>
        </w:rPr>
        <w:t>Based on this analysis, in July 2020, Georgia EPD selected Plant Bowen for further evaluation of SO</w:t>
      </w:r>
      <w:r w:rsidRPr="6ED84A44">
        <w:rPr>
          <w:rFonts w:cs="Arial"/>
          <w:vertAlign w:val="subscript"/>
        </w:rPr>
        <w:t>2</w:t>
      </w:r>
      <w:r w:rsidRPr="6ED84A44">
        <w:rPr>
          <w:rFonts w:cs="Arial"/>
        </w:rPr>
        <w:t xml:space="preserve"> emissions to determine whether additional control measures are required to make reasonable process toward achieving the program’s goals.  Georgia Power submitted the Regional Haze four-factor analysis for Plant Bowen in November 2020</w:t>
      </w:r>
      <w:r>
        <w:rPr>
          <w:rFonts w:cs="Arial"/>
        </w:rPr>
        <w:t xml:space="preserve">, recommending that no additional </w:t>
      </w:r>
      <w:r w:rsidRPr="00B41190">
        <w:rPr>
          <w:rFonts w:cs="Arial"/>
        </w:rPr>
        <w:t>SO</w:t>
      </w:r>
      <w:r w:rsidRPr="00B41190">
        <w:rPr>
          <w:rFonts w:cs="Arial"/>
          <w:vertAlign w:val="subscript"/>
        </w:rPr>
        <w:t>2</w:t>
      </w:r>
      <w:r>
        <w:rPr>
          <w:rFonts w:cs="Arial"/>
        </w:rPr>
        <w:t xml:space="preserve"> emission controls were necessary</w:t>
      </w:r>
      <w:r w:rsidRPr="6ED84A44">
        <w:rPr>
          <w:rFonts w:cs="Arial"/>
        </w:rPr>
        <w:t xml:space="preserve">.  </w:t>
      </w:r>
      <w:r>
        <w:rPr>
          <w:rFonts w:cs="Arial"/>
        </w:rPr>
        <w:t>Regional Haze SIPs</w:t>
      </w:r>
      <w:r w:rsidRPr="6ED84A44">
        <w:rPr>
          <w:rFonts w:cs="Arial"/>
        </w:rPr>
        <w:t xml:space="preserve"> for the 2028 planning period </w:t>
      </w:r>
      <w:r>
        <w:rPr>
          <w:rFonts w:cs="Arial"/>
        </w:rPr>
        <w:t>were</w:t>
      </w:r>
      <w:r w:rsidRPr="6ED84A44">
        <w:rPr>
          <w:rFonts w:cs="Arial"/>
        </w:rPr>
        <w:t xml:space="preserve"> due to EP</w:t>
      </w:r>
      <w:r>
        <w:rPr>
          <w:rFonts w:cs="Arial"/>
        </w:rPr>
        <w:t>A</w:t>
      </w:r>
      <w:r w:rsidRPr="6ED84A44">
        <w:rPr>
          <w:rFonts w:cs="Arial"/>
        </w:rPr>
        <w:t xml:space="preserve"> </w:t>
      </w:r>
      <w:r w:rsidRPr="00A10388">
        <w:rPr>
          <w:rFonts w:cs="Arial"/>
        </w:rPr>
        <w:t>by July 2021</w:t>
      </w:r>
      <w:r>
        <w:rPr>
          <w:rFonts w:cs="Arial"/>
        </w:rPr>
        <w:t xml:space="preserve">, which was missed by </w:t>
      </w:r>
      <w:proofErr w:type="gramStart"/>
      <w:r>
        <w:rPr>
          <w:rFonts w:cs="Arial"/>
        </w:rPr>
        <w:t>a majority of</w:t>
      </w:r>
      <w:proofErr w:type="gramEnd"/>
      <w:r>
        <w:rPr>
          <w:rFonts w:cs="Arial"/>
        </w:rPr>
        <w:t xml:space="preserve"> states, including Georgia</w:t>
      </w:r>
      <w:r w:rsidRPr="00141DDD">
        <w:rPr>
          <w:rFonts w:cs="Arial"/>
        </w:rPr>
        <w:t>.</w:t>
      </w:r>
      <w:r w:rsidRPr="6ED84A44">
        <w:rPr>
          <w:rFonts w:cs="Arial"/>
        </w:rPr>
        <w:t xml:space="preserve">  </w:t>
      </w:r>
    </w:p>
    <w:p w14:paraId="0F2C5176" w14:textId="3280A8F9" w:rsidR="00084672" w:rsidRPr="00CA5C57" w:rsidRDefault="00084672" w:rsidP="00CA5C57">
      <w:pPr>
        <w:spacing w:before="120" w:after="0"/>
        <w:rPr>
          <w:rFonts w:cs="Arial"/>
        </w:rPr>
      </w:pPr>
      <w:r w:rsidRPr="00003E59">
        <w:rPr>
          <w:rFonts w:cs="Arial"/>
        </w:rPr>
        <w:t>In June 2022, Georgia EPD completed and proposed its Regional Haze SIP, allowing for a period of public comment. In the proposal, Georgia EPD concurred with the Georgia Power four-factor analysis for Plant Bowen recommendation that no additional SO2 emission controls are necessary for compliance with Regional Haze. Georgia Power will be required to comply with the existing MATS SO2 emission standard using the existing scrubbers at all four Bowen units as a part of the SIP.</w:t>
      </w:r>
      <w:r w:rsidR="00CA5C57">
        <w:rPr>
          <w:rFonts w:cs="Arial"/>
        </w:rPr>
        <w:t xml:space="preserve"> </w:t>
      </w:r>
      <w:r w:rsidRPr="00CA5C57">
        <w:rPr>
          <w:rFonts w:cs="Arial"/>
        </w:rPr>
        <w:t>In August 2022, Georgia EPD completed and submitted its Regional Haze SIP to EPA, with the requirements for Plant Bowen remaining consistent with the four-factor analysis submitted by Georgia Power.</w:t>
      </w:r>
      <w:r w:rsidR="003364C3">
        <w:rPr>
          <w:rFonts w:cs="Arial"/>
        </w:rPr>
        <w:t xml:space="preserve"> </w:t>
      </w:r>
    </w:p>
    <w:p w14:paraId="08008007" w14:textId="00BDDF4E" w:rsidR="00CA448C" w:rsidRDefault="00CA448C" w:rsidP="00084672">
      <w:pPr>
        <w:spacing w:before="120" w:after="0" w:line="240" w:lineRule="auto"/>
        <w:rPr>
          <w:rFonts w:cs="Arial"/>
          <w:b/>
          <w:bCs/>
          <w:szCs w:val="24"/>
        </w:rPr>
      </w:pPr>
      <w:r>
        <w:rPr>
          <w:rFonts w:cs="Arial"/>
          <w:b/>
          <w:bCs/>
          <w:szCs w:val="24"/>
        </w:rPr>
        <w:t>New</w:t>
      </w:r>
      <w:r w:rsidRPr="00232354">
        <w:rPr>
          <w:rFonts w:cs="Arial"/>
          <w:b/>
          <w:bCs/>
          <w:szCs w:val="24"/>
        </w:rPr>
        <w:t xml:space="preserve"> Regulatory Updates</w:t>
      </w:r>
    </w:p>
    <w:p w14:paraId="73393D56" w14:textId="64E42528" w:rsidR="008662E7" w:rsidRDefault="00D25AE4" w:rsidP="00001A14">
      <w:pPr>
        <w:pStyle w:val="ListParagraph"/>
        <w:numPr>
          <w:ilvl w:val="0"/>
          <w:numId w:val="9"/>
        </w:numPr>
        <w:spacing w:after="0"/>
        <w:rPr>
          <w:rFonts w:asciiTheme="minorHAnsi" w:eastAsiaTheme="minorEastAsia" w:hAnsiTheme="minorHAnsi" w:cs="Arial"/>
          <w:sz w:val="22"/>
        </w:rPr>
      </w:pPr>
      <w:r>
        <w:rPr>
          <w:rFonts w:asciiTheme="minorHAnsi" w:eastAsiaTheme="minorEastAsia" w:hAnsiTheme="minorHAnsi" w:cs="Arial"/>
          <w:sz w:val="22"/>
        </w:rPr>
        <w:t xml:space="preserve">On September </w:t>
      </w:r>
      <w:r w:rsidR="00D44158">
        <w:rPr>
          <w:rFonts w:asciiTheme="minorHAnsi" w:eastAsiaTheme="minorEastAsia" w:hAnsiTheme="minorHAnsi" w:cs="Arial"/>
          <w:sz w:val="22"/>
        </w:rPr>
        <w:t xml:space="preserve">6, 2023, </w:t>
      </w:r>
      <w:r w:rsidR="009D1DAC">
        <w:rPr>
          <w:rFonts w:asciiTheme="minorHAnsi" w:eastAsiaTheme="minorEastAsia" w:hAnsiTheme="minorHAnsi" w:cs="Arial"/>
          <w:sz w:val="22"/>
        </w:rPr>
        <w:t xml:space="preserve">Georgia EPD </w:t>
      </w:r>
      <w:r w:rsidR="00716EFC">
        <w:rPr>
          <w:rFonts w:asciiTheme="minorHAnsi" w:eastAsiaTheme="minorEastAsia" w:hAnsiTheme="minorHAnsi" w:cs="Arial"/>
          <w:sz w:val="22"/>
        </w:rPr>
        <w:t xml:space="preserve">incorporated </w:t>
      </w:r>
      <w:r w:rsidR="00DB62D4">
        <w:rPr>
          <w:rFonts w:asciiTheme="minorHAnsi" w:eastAsiaTheme="minorEastAsia" w:hAnsiTheme="minorHAnsi" w:cs="Arial"/>
          <w:sz w:val="22"/>
        </w:rPr>
        <w:t xml:space="preserve">requirements </w:t>
      </w:r>
      <w:r w:rsidR="00F11564">
        <w:rPr>
          <w:rFonts w:asciiTheme="minorHAnsi" w:eastAsiaTheme="minorEastAsia" w:hAnsiTheme="minorHAnsi" w:cs="Arial"/>
          <w:sz w:val="22"/>
        </w:rPr>
        <w:t xml:space="preserve">associated with its Regional Haze SIP into Plant Bowen’s </w:t>
      </w:r>
      <w:r w:rsidR="00DB62D4">
        <w:rPr>
          <w:rFonts w:asciiTheme="minorHAnsi" w:eastAsiaTheme="minorEastAsia" w:hAnsiTheme="minorHAnsi" w:cs="Arial"/>
          <w:sz w:val="22"/>
        </w:rPr>
        <w:t>Title V operating permit.</w:t>
      </w:r>
      <w:r w:rsidR="00EF632D">
        <w:rPr>
          <w:rFonts w:asciiTheme="minorHAnsi" w:eastAsiaTheme="minorEastAsia" w:hAnsiTheme="minorHAnsi" w:cs="Arial"/>
          <w:sz w:val="22"/>
        </w:rPr>
        <w:t xml:space="preserve"> </w:t>
      </w:r>
    </w:p>
    <w:p w14:paraId="1F29203C" w14:textId="156F8B21" w:rsidR="00CA448C" w:rsidRDefault="00CA5C57" w:rsidP="002D6E5E">
      <w:pPr>
        <w:pStyle w:val="ListParagraph"/>
        <w:numPr>
          <w:ilvl w:val="0"/>
          <w:numId w:val="9"/>
        </w:numPr>
        <w:spacing w:before="120" w:after="0"/>
        <w:rPr>
          <w:rFonts w:asciiTheme="minorHAnsi" w:eastAsiaTheme="minorEastAsia" w:hAnsiTheme="minorHAnsi" w:cs="Arial"/>
          <w:sz w:val="22"/>
        </w:rPr>
      </w:pPr>
      <w:r>
        <w:rPr>
          <w:rFonts w:asciiTheme="minorHAnsi" w:eastAsiaTheme="minorEastAsia" w:hAnsiTheme="minorHAnsi" w:cs="Arial"/>
          <w:sz w:val="22"/>
        </w:rPr>
        <w:t xml:space="preserve">EPA is </w:t>
      </w:r>
      <w:r w:rsidR="002D6E5E">
        <w:rPr>
          <w:rFonts w:asciiTheme="minorHAnsi" w:eastAsiaTheme="minorEastAsia" w:hAnsiTheme="minorHAnsi" w:cs="Arial"/>
          <w:sz w:val="22"/>
        </w:rPr>
        <w:t>required</w:t>
      </w:r>
      <w:r>
        <w:rPr>
          <w:rFonts w:asciiTheme="minorHAnsi" w:eastAsiaTheme="minorEastAsia" w:hAnsiTheme="minorHAnsi" w:cs="Arial"/>
          <w:sz w:val="22"/>
        </w:rPr>
        <w:t xml:space="preserve"> </w:t>
      </w:r>
      <w:r w:rsidR="00231610">
        <w:rPr>
          <w:rFonts w:asciiTheme="minorHAnsi" w:eastAsiaTheme="minorEastAsia" w:hAnsiTheme="minorHAnsi" w:cs="Arial"/>
          <w:sz w:val="22"/>
        </w:rPr>
        <w:t xml:space="preserve">under the Clean Air Act </w:t>
      </w:r>
      <w:r>
        <w:rPr>
          <w:rFonts w:asciiTheme="minorHAnsi" w:eastAsiaTheme="minorEastAsia" w:hAnsiTheme="minorHAnsi" w:cs="Arial"/>
          <w:sz w:val="22"/>
        </w:rPr>
        <w:t xml:space="preserve">to </w:t>
      </w:r>
      <w:proofErr w:type="gramStart"/>
      <w:r>
        <w:rPr>
          <w:rFonts w:asciiTheme="minorHAnsi" w:eastAsiaTheme="minorEastAsia" w:hAnsiTheme="minorHAnsi" w:cs="Arial"/>
          <w:sz w:val="22"/>
        </w:rPr>
        <w:t>take action</w:t>
      </w:r>
      <w:proofErr w:type="gramEnd"/>
      <w:r>
        <w:rPr>
          <w:rFonts w:asciiTheme="minorHAnsi" w:eastAsiaTheme="minorEastAsia" w:hAnsiTheme="minorHAnsi" w:cs="Arial"/>
          <w:sz w:val="22"/>
        </w:rPr>
        <w:t xml:space="preserve"> on Georgia’s Regional Haze SIP</w:t>
      </w:r>
      <w:r w:rsidR="002D6E5E">
        <w:rPr>
          <w:rFonts w:asciiTheme="minorHAnsi" w:eastAsiaTheme="minorEastAsia" w:hAnsiTheme="minorHAnsi" w:cs="Arial"/>
          <w:sz w:val="22"/>
        </w:rPr>
        <w:t xml:space="preserve"> </w:t>
      </w:r>
      <w:r w:rsidR="0098586E">
        <w:rPr>
          <w:rFonts w:asciiTheme="minorHAnsi" w:eastAsiaTheme="minorEastAsia" w:hAnsiTheme="minorHAnsi" w:cs="Arial"/>
          <w:sz w:val="22"/>
        </w:rPr>
        <w:t>by early 202</w:t>
      </w:r>
      <w:r w:rsidR="00231610">
        <w:rPr>
          <w:rFonts w:asciiTheme="minorHAnsi" w:eastAsiaTheme="minorEastAsia" w:hAnsiTheme="minorHAnsi" w:cs="Arial"/>
          <w:sz w:val="22"/>
        </w:rPr>
        <w:t>4</w:t>
      </w:r>
      <w:r w:rsidR="0098586E">
        <w:rPr>
          <w:rFonts w:asciiTheme="minorHAnsi" w:eastAsiaTheme="minorEastAsia" w:hAnsiTheme="minorHAnsi" w:cs="Arial"/>
          <w:sz w:val="22"/>
        </w:rPr>
        <w:t xml:space="preserve">. </w:t>
      </w:r>
    </w:p>
    <w:p w14:paraId="07C65A45" w14:textId="58592830" w:rsidR="00CA448C" w:rsidRPr="00095806" w:rsidRDefault="00DD219A" w:rsidP="00CA448C">
      <w:pPr>
        <w:spacing w:before="120" w:after="0" w:line="240" w:lineRule="auto"/>
        <w:rPr>
          <w:b/>
          <w:bCs/>
          <w:color w:val="C00000"/>
        </w:rPr>
      </w:pPr>
      <w:r>
        <w:rPr>
          <w:rFonts w:asciiTheme="majorHAnsi" w:eastAsiaTheme="majorEastAsia" w:hAnsiTheme="majorHAnsi" w:cstheme="majorBidi"/>
          <w:b/>
          <w:bCs/>
          <w:color w:val="2F5496" w:themeColor="accent1" w:themeShade="BF"/>
          <w:sz w:val="24"/>
          <w:szCs w:val="24"/>
          <w:u w:val="single"/>
        </w:rPr>
        <w:t>Regional Haze</w:t>
      </w:r>
      <w:r w:rsidRPr="00B243E6">
        <w:rPr>
          <w:rFonts w:asciiTheme="majorHAnsi" w:eastAsiaTheme="majorEastAsia" w:hAnsiTheme="majorHAnsi" w:cstheme="majorBidi"/>
          <w:b/>
          <w:bCs/>
          <w:color w:val="2F5496" w:themeColor="accent1" w:themeShade="BF"/>
          <w:sz w:val="24"/>
          <w:szCs w:val="24"/>
          <w:u w:val="single"/>
        </w:rPr>
        <w:t xml:space="preserve"> </w:t>
      </w:r>
      <w:r w:rsidRPr="00840D0F">
        <w:rPr>
          <w:rFonts w:asciiTheme="majorHAnsi" w:eastAsiaTheme="majorEastAsia" w:hAnsiTheme="majorHAnsi" w:cstheme="majorBidi"/>
          <w:b/>
          <w:bCs/>
          <w:color w:val="2F5496" w:themeColor="accent1" w:themeShade="BF"/>
          <w:sz w:val="24"/>
          <w:szCs w:val="24"/>
          <w:u w:val="single"/>
        </w:rPr>
        <w:t>Compliance Strategy</w:t>
      </w:r>
    </w:p>
    <w:p w14:paraId="5F81AC95" w14:textId="77777777" w:rsidR="00CA448C" w:rsidRDefault="00CA448C" w:rsidP="00CA448C">
      <w:pPr>
        <w:spacing w:before="120" w:after="0" w:line="240" w:lineRule="auto"/>
      </w:pPr>
      <w:r>
        <w:t>Based on the Regional Haze SIP submitted by Georgia EPD to EPA, the existing scrubbers at Plant Bowen are expected to be used to comply with Regional Haze requirements. While the adoption of the existing MATS SO2 limit at Bowen will remove the flexibility to use both the HCl and SO2 compliance options available in the MATS rule, no incremental controls or projects would be required to comply.</w:t>
      </w:r>
    </w:p>
    <w:p w14:paraId="0CC6ADB8" w14:textId="0C8FA830" w:rsidR="00CA448C" w:rsidRPr="00095806" w:rsidRDefault="00CA448C" w:rsidP="00CA448C">
      <w:pPr>
        <w:pStyle w:val="Heading1"/>
        <w:spacing w:before="120" w:after="0"/>
        <w:rPr>
          <w:b/>
          <w:bCs/>
          <w:sz w:val="28"/>
          <w:szCs w:val="28"/>
        </w:rPr>
      </w:pPr>
      <w:bookmarkStart w:id="55" w:name="_Toc130201012"/>
      <w:r w:rsidRPr="00095806">
        <w:rPr>
          <w:b/>
          <w:bCs/>
          <w:sz w:val="28"/>
          <w:szCs w:val="28"/>
        </w:rPr>
        <w:t>2.</w:t>
      </w:r>
      <w:r w:rsidR="00EA02BD">
        <w:rPr>
          <w:b/>
          <w:bCs/>
          <w:sz w:val="28"/>
          <w:szCs w:val="28"/>
        </w:rPr>
        <w:t>3</w:t>
      </w:r>
      <w:r w:rsidRPr="00095806">
        <w:rPr>
          <w:b/>
          <w:bCs/>
          <w:sz w:val="28"/>
          <w:szCs w:val="28"/>
        </w:rPr>
        <w:t>.5 New Source Review and Other Air Permitting Regulations</w:t>
      </w:r>
      <w:bookmarkEnd w:id="55"/>
    </w:p>
    <w:p w14:paraId="3D031A4D" w14:textId="4C26A618" w:rsidR="00CA448C" w:rsidRDefault="00CA448C" w:rsidP="00CA448C">
      <w:pPr>
        <w:spacing w:before="120" w:after="0" w:line="240" w:lineRule="auto"/>
      </w:pPr>
      <w:r>
        <w:t xml:space="preserve">Facilities that include activities with associated emissions may be required to obtain </w:t>
      </w:r>
      <w:r w:rsidR="008960A0">
        <w:t xml:space="preserve">an </w:t>
      </w:r>
      <w:r>
        <w:t xml:space="preserve">air permit to authorize construction and/or operation. The most resource-intensive and stringent type of permitting is </w:t>
      </w:r>
      <w:r>
        <w:lastRenderedPageBreak/>
        <w:t xml:space="preserve">typically termed major New Source Review (“NSR”), which includes both federal and state requirements applicable to new sources or projects at existing sites that result in emissions over </w:t>
      </w:r>
      <w:r w:rsidR="008029D4">
        <w:t>certain</w:t>
      </w:r>
      <w:r>
        <w:t xml:space="preserve"> threshold</w:t>
      </w:r>
      <w:r w:rsidR="008029D4">
        <w:t>s</w:t>
      </w:r>
      <w:r>
        <w:t>. Sources or projects that do not require NSR may still need to obtain construction or operation authorization through a state or minor air permit.</w:t>
      </w:r>
      <w:r w:rsidR="005F5540">
        <w:t xml:space="preserve"> Although formal rules are not yet in place regarding the role of environmental justice in air permitting, federal permitting guidance and policy is expected to emphasize community engagement and transparency. </w:t>
      </w:r>
    </w:p>
    <w:p w14:paraId="3B14C720" w14:textId="77777777" w:rsidR="00CA448C" w:rsidRPr="00095806" w:rsidRDefault="00CA448C" w:rsidP="00CA448C">
      <w:pPr>
        <w:spacing w:before="120" w:after="0" w:line="240" w:lineRule="auto"/>
        <w:rPr>
          <w:b/>
          <w:bCs/>
        </w:rPr>
      </w:pPr>
      <w:r w:rsidRPr="00095806">
        <w:rPr>
          <w:rFonts w:asciiTheme="majorHAnsi" w:eastAsiaTheme="majorEastAsia" w:hAnsiTheme="majorHAnsi" w:cstheme="majorBidi"/>
          <w:b/>
          <w:bCs/>
          <w:color w:val="2F5496" w:themeColor="accent1" w:themeShade="BF"/>
          <w:sz w:val="24"/>
          <w:szCs w:val="24"/>
        </w:rPr>
        <w:t>New Source Review (40 CFR 52.21)</w:t>
      </w:r>
    </w:p>
    <w:p w14:paraId="2727F796" w14:textId="5A83DCAA" w:rsidR="00CA448C" w:rsidRPr="00DB7156" w:rsidRDefault="00CA448C" w:rsidP="00CA448C">
      <w:pPr>
        <w:spacing w:before="120" w:after="0" w:line="240" w:lineRule="auto"/>
      </w:pPr>
      <w:r>
        <w:t>New Source Review (“NSR”)</w:t>
      </w:r>
      <w:r w:rsidRPr="00DB7156">
        <w:t xml:space="preserve"> is a pre-construction permitting program under the </w:t>
      </w:r>
      <w:r>
        <w:t>CAA</w:t>
      </w:r>
      <w:r w:rsidRPr="00DB7156">
        <w:t xml:space="preserve"> that </w:t>
      </w:r>
      <w:r>
        <w:t xml:space="preserve">is required of new sources or </w:t>
      </w:r>
      <w:r w:rsidRPr="00DB7156">
        <w:t>can be triggered by changes to an</w:t>
      </w:r>
      <w:r>
        <w:t xml:space="preserve"> existing</w:t>
      </w:r>
      <w:r w:rsidRPr="00DB7156">
        <w:t xml:space="preserve"> emissions source that result in a “significant” increase of a regulated NSR pollutant. </w:t>
      </w:r>
      <w:r>
        <w:t xml:space="preserve">While the NSR program was established by the 1977 </w:t>
      </w:r>
      <w:r w:rsidR="00E75E21">
        <w:t>Clean Air Act Amendments</w:t>
      </w:r>
      <w:r>
        <w:t xml:space="preserve">, </w:t>
      </w:r>
      <w:r w:rsidRPr="00DB7156">
        <w:t>NSR regulations</w:t>
      </w:r>
      <w:r>
        <w:t xml:space="preserve">, EPA’s </w:t>
      </w:r>
      <w:r w:rsidRPr="00DB7156">
        <w:t xml:space="preserve">interpretation </w:t>
      </w:r>
      <w:r>
        <w:t xml:space="preserve">of the requirements, and EPA’s NSR guidance have changed over time. </w:t>
      </w:r>
      <w:r w:rsidR="003F21EA">
        <w:t xml:space="preserve">Georgia EPD is the </w:t>
      </w:r>
      <w:r w:rsidR="00F0556C">
        <w:t xml:space="preserve">approved </w:t>
      </w:r>
      <w:r w:rsidR="003F21EA">
        <w:t>permitting authority for Georgia</w:t>
      </w:r>
      <w:r w:rsidR="00DF19C5">
        <w:t xml:space="preserve">. </w:t>
      </w:r>
      <w:r w:rsidR="00F30BED">
        <w:t>If a project triggers NSR, a</w:t>
      </w:r>
      <w:r w:rsidR="00CF2884">
        <w:t xml:space="preserve">pplicants must submit a </w:t>
      </w:r>
      <w:r>
        <w:t>case-by-case analysis of control technologies and emission reductions that are feasible at a particular facility</w:t>
      </w:r>
      <w:r w:rsidR="008648E9">
        <w:t xml:space="preserve">, as well as air quality modeling to </w:t>
      </w:r>
      <w:r w:rsidR="00C36B6A">
        <w:t>ensure the project</w:t>
      </w:r>
      <w:r w:rsidR="00EA4259">
        <w:t xml:space="preserve"> maintains air quality</w:t>
      </w:r>
      <w:r w:rsidR="00F30BED">
        <w:t xml:space="preserve">. </w:t>
      </w:r>
      <w:r w:rsidR="00C41901">
        <w:t xml:space="preserve">As there are no areas in the state currently designated as nonattainment </w:t>
      </w:r>
      <w:r w:rsidR="00ED2E57">
        <w:t xml:space="preserve">with </w:t>
      </w:r>
      <w:r w:rsidR="00585E98">
        <w:t>air quality standards,</w:t>
      </w:r>
      <w:r w:rsidR="00ED2E57">
        <w:t xml:space="preserve"> </w:t>
      </w:r>
      <w:r w:rsidR="00CF2884">
        <w:t>Georgia EPD review</w:t>
      </w:r>
      <w:r w:rsidR="002A66DD">
        <w:t>s</w:t>
      </w:r>
      <w:r w:rsidR="00CF2884">
        <w:t xml:space="preserve"> and approv</w:t>
      </w:r>
      <w:r w:rsidR="002A66DD">
        <w:t>es of the air permit application</w:t>
      </w:r>
      <w:r w:rsidR="00CF2884">
        <w:t xml:space="preserve"> through issuance of </w:t>
      </w:r>
      <w:r w:rsidR="00E713DD">
        <w:t xml:space="preserve">a </w:t>
      </w:r>
      <w:r w:rsidR="00C36B6A">
        <w:t>Prevention of Significant Deterioration (“PSD”)</w:t>
      </w:r>
      <w:r w:rsidR="00E713DD">
        <w:t xml:space="preserve"> permit</w:t>
      </w:r>
      <w:r>
        <w:t>.</w:t>
      </w:r>
    </w:p>
    <w:p w14:paraId="13B977D7" w14:textId="3578C3BE" w:rsidR="00FA7DF4" w:rsidRDefault="00CA448C" w:rsidP="00CA448C">
      <w:pPr>
        <w:spacing w:before="120" w:after="0" w:line="240" w:lineRule="auto"/>
        <w:rPr>
          <w:rFonts w:asciiTheme="majorHAnsi" w:eastAsiaTheme="majorEastAsia" w:hAnsiTheme="majorHAnsi" w:cstheme="majorBidi"/>
          <w:b/>
          <w:bCs/>
          <w:color w:val="2F5496" w:themeColor="accent1" w:themeShade="BF"/>
          <w:sz w:val="24"/>
          <w:szCs w:val="24"/>
        </w:rPr>
      </w:pPr>
      <w:r w:rsidRPr="00DB7156">
        <w:t xml:space="preserve">In 1999, </w:t>
      </w:r>
      <w:r>
        <w:t>under a broad nationwide enforcement initiative</w:t>
      </w:r>
      <w:r w:rsidRPr="00DB7156">
        <w:t xml:space="preserve">, EPA brought a civil action in the U.S. District Court for the Northern District of Georgia against Georgia Power, alleging that </w:t>
      </w:r>
      <w:r w:rsidR="006F2AAE">
        <w:t>the Company</w:t>
      </w:r>
      <w:r w:rsidRPr="00DB7156">
        <w:t xml:space="preserve"> had violated the NSR provisions of the CAA and related state laws at certain coal-fired generating facilities. The civil action sought penalties and injunctive relief, including an order requiring installation of the best available control technology at the affected units. The case against Georgia Power was administratively closed in 2001 and has not been reopened.  </w:t>
      </w:r>
    </w:p>
    <w:p w14:paraId="38A280EC" w14:textId="4AFE2AB6" w:rsidR="00CA448C" w:rsidRPr="00095806" w:rsidRDefault="00CA448C" w:rsidP="00CA448C">
      <w:pPr>
        <w:spacing w:before="120" w:after="0" w:line="240" w:lineRule="auto"/>
        <w:rPr>
          <w:b/>
          <w:bCs/>
          <w:sz w:val="32"/>
          <w:szCs w:val="32"/>
        </w:rPr>
      </w:pPr>
      <w:r w:rsidRPr="00095806">
        <w:rPr>
          <w:rFonts w:asciiTheme="majorHAnsi" w:eastAsiaTheme="majorEastAsia" w:hAnsiTheme="majorHAnsi" w:cstheme="majorBidi"/>
          <w:b/>
          <w:bCs/>
          <w:color w:val="2F5496" w:themeColor="accent1" w:themeShade="BF"/>
          <w:sz w:val="24"/>
          <w:szCs w:val="24"/>
        </w:rPr>
        <w:t>Other Air Permitting (40 CFR 70, GA Rule 391-3-1-.03)</w:t>
      </w:r>
    </w:p>
    <w:p w14:paraId="3D943611" w14:textId="23916130" w:rsidR="00BE6357" w:rsidRPr="00BE6357" w:rsidRDefault="00CA448C" w:rsidP="00BE6357">
      <w:pPr>
        <w:spacing w:before="120" w:after="0" w:line="240" w:lineRule="auto"/>
      </w:pPr>
      <w:r>
        <w:t xml:space="preserve">For projects that don’t require NSR permitting, the state of Georgia may still require a construction or operating permit through the Title V </w:t>
      </w:r>
      <w:r w:rsidR="00664D80">
        <w:t>program</w:t>
      </w:r>
      <w:r>
        <w:t xml:space="preserve">, which compiles all applicable air requirements into one place for larger sources, or through the minor source permitting programs, typically for smaller sources. These types of permitting </w:t>
      </w:r>
      <w:r w:rsidR="00C41901">
        <w:t xml:space="preserve">actions </w:t>
      </w:r>
      <w:r>
        <w:t xml:space="preserve">are typically simpler and less resource intensive than NSR permitting. </w:t>
      </w:r>
      <w:r w:rsidR="00BE6357" w:rsidRPr="00BE6357">
        <w:t xml:space="preserve">In the Fall of 2022, EPA conducted stakeholder engagement sessions focused on minor air permitting, </w:t>
      </w:r>
      <w:r w:rsidR="00CE00D6">
        <w:t>as in</w:t>
      </w:r>
      <w:r w:rsidR="00BE6357" w:rsidRPr="00BE6357">
        <w:t xml:space="preserve"> permitting that does not trigger major NSR. EPA indicated their efforts will focus on reviewing state and local agency’s minor permitting programs to verify they provide adequate protection of the NAAQS and transparency to the public. </w:t>
      </w:r>
    </w:p>
    <w:p w14:paraId="11BF6CE8" w14:textId="77777777" w:rsidR="00CA448C" w:rsidRPr="00095806" w:rsidRDefault="00CA448C" w:rsidP="00CA448C">
      <w:pPr>
        <w:spacing w:before="120" w:after="0" w:line="240" w:lineRule="auto"/>
        <w:rPr>
          <w:rFonts w:asciiTheme="majorHAnsi" w:eastAsiaTheme="majorEastAsia" w:hAnsiTheme="majorHAnsi" w:cstheme="majorBidi"/>
          <w:b/>
          <w:bCs/>
          <w:color w:val="2F5496" w:themeColor="accent1" w:themeShade="BF"/>
          <w:sz w:val="24"/>
          <w:szCs w:val="24"/>
        </w:rPr>
      </w:pPr>
      <w:r w:rsidRPr="00095806">
        <w:rPr>
          <w:rFonts w:asciiTheme="majorHAnsi" w:eastAsiaTheme="majorEastAsia" w:hAnsiTheme="majorHAnsi" w:cstheme="majorBidi"/>
          <w:b/>
          <w:bCs/>
          <w:color w:val="2F5496" w:themeColor="accent1" w:themeShade="BF"/>
          <w:sz w:val="24"/>
          <w:szCs w:val="24"/>
        </w:rPr>
        <w:t>GHG Air Permitting (40 CFR § 51.166(b)(48))</w:t>
      </w:r>
    </w:p>
    <w:p w14:paraId="77C1CB48" w14:textId="66C28A0E" w:rsidR="00CA448C" w:rsidRDefault="00CA448C" w:rsidP="00CA448C">
      <w:pPr>
        <w:spacing w:before="120" w:after="0" w:line="240" w:lineRule="auto"/>
      </w:pPr>
      <w:r>
        <w:t>I</w:t>
      </w:r>
      <w:r w:rsidRPr="00DB7156">
        <w:t xml:space="preserve">n April 2010, EPA issued a final rule regulating </w:t>
      </w:r>
      <w:r w:rsidR="001572EB">
        <w:t>greenhouse gas (“</w:t>
      </w:r>
      <w:r w:rsidRPr="00DB7156">
        <w:t>GHG</w:t>
      </w:r>
      <w:r w:rsidR="001572EB">
        <w:t>”)</w:t>
      </w:r>
      <w:r w:rsidRPr="00DB7156">
        <w:t xml:space="preserve"> emissions from new motor vehicles under the CAA</w:t>
      </w:r>
      <w:r>
        <w:t>, taking</w:t>
      </w:r>
      <w:r w:rsidRPr="00DB7156">
        <w:t xml:space="preserve"> the position that</w:t>
      </w:r>
      <w:r>
        <w:t xml:space="preserve"> this action then triggered </w:t>
      </w:r>
      <w:r w:rsidRPr="00DB7156">
        <w:t>CO</w:t>
      </w:r>
      <w:r w:rsidRPr="00DB7156">
        <w:rPr>
          <w:vertAlign w:val="subscript"/>
        </w:rPr>
        <w:t>2</w:t>
      </w:r>
      <w:r w:rsidRPr="00DB7156">
        <w:t xml:space="preserve"> and other GHGs </w:t>
      </w:r>
      <w:r>
        <w:t xml:space="preserve">to </w:t>
      </w:r>
      <w:r w:rsidRPr="00DB7156">
        <w:t>bec</w:t>
      </w:r>
      <w:r>
        <w:t>o</w:t>
      </w:r>
      <w:r w:rsidRPr="00DB7156">
        <w:t xml:space="preserve">me regulated pollutants under the </w:t>
      </w:r>
      <w:r>
        <w:t xml:space="preserve">NSR </w:t>
      </w:r>
      <w:r w:rsidRPr="00DB7156">
        <w:t>preconstruction permit program and the Title V operating permit program.</w:t>
      </w:r>
      <w:r>
        <w:t xml:space="preserve"> </w:t>
      </w:r>
      <w:r w:rsidRPr="00DB7156">
        <w:t xml:space="preserve"> As a result, the construction of new facilities or the major modification of existing </w:t>
      </w:r>
      <w:r>
        <w:t>power plants</w:t>
      </w:r>
      <w:r w:rsidRPr="00DB7156">
        <w:t xml:space="preserve"> could trigger the requirement for a </w:t>
      </w:r>
      <w:r w:rsidR="00C54DD6">
        <w:t>Prevention of Significant Deterioration (“</w:t>
      </w:r>
      <w:r w:rsidRPr="00DB7156">
        <w:t>PSD</w:t>
      </w:r>
      <w:r w:rsidR="00C54DD6">
        <w:t>”)</w:t>
      </w:r>
      <w:r w:rsidRPr="00DB7156">
        <w:t xml:space="preserve"> permit and the installation of </w:t>
      </w:r>
      <w:r>
        <w:t xml:space="preserve">controls to reduce </w:t>
      </w:r>
      <w:r w:rsidRPr="00DB7156">
        <w:t>CO</w:t>
      </w:r>
      <w:r w:rsidRPr="00DB7156">
        <w:rPr>
          <w:vertAlign w:val="subscript"/>
        </w:rPr>
        <w:t>2</w:t>
      </w:r>
      <w:r w:rsidRPr="00DB7156">
        <w:t xml:space="preserve"> and other GHGs</w:t>
      </w:r>
      <w:r>
        <w:t>, under the GHG Tailoring Rule finalized in May 2010.</w:t>
      </w:r>
    </w:p>
    <w:p w14:paraId="04687846" w14:textId="7FFA6E81" w:rsidR="001013AD" w:rsidRPr="00BE6357" w:rsidRDefault="00CA448C" w:rsidP="00BE6357">
      <w:pPr>
        <w:spacing w:before="120" w:after="0" w:line="240" w:lineRule="auto"/>
      </w:pPr>
      <w:r>
        <w:t xml:space="preserve">In June 2014, the Supreme Court ruled that EPA could not use either its PSD or Title V permitting programs to require permits solely based on GHG emissions but could require applicants that triggered permitting for other pollutants to undertake GHG analysis. </w:t>
      </w:r>
      <w:r w:rsidR="001013AD" w:rsidRPr="00BE6357">
        <w:t xml:space="preserve"> </w:t>
      </w:r>
      <w:r w:rsidR="00E65E2A">
        <w:t xml:space="preserve">In August 2015, EPA </w:t>
      </w:r>
      <w:r w:rsidR="00781356">
        <w:t>removed</w:t>
      </w:r>
      <w:r w:rsidR="00C74746">
        <w:t xml:space="preserve"> </w:t>
      </w:r>
      <w:r w:rsidR="00781356">
        <w:t xml:space="preserve">portions </w:t>
      </w:r>
      <w:r w:rsidR="00336800">
        <w:t xml:space="preserve">of the Title V and PSD regulations that were vacated </w:t>
      </w:r>
      <w:proofErr w:type="gramStart"/>
      <w:r w:rsidR="00336800">
        <w:t xml:space="preserve">as </w:t>
      </w:r>
      <w:r w:rsidR="000748E5">
        <w:t>a result of</w:t>
      </w:r>
      <w:proofErr w:type="gramEnd"/>
      <w:r w:rsidR="000748E5">
        <w:t xml:space="preserve"> the</w:t>
      </w:r>
      <w:r w:rsidR="0002047D">
        <w:t xml:space="preserve"> Supreme Court decision.</w:t>
      </w:r>
      <w:r w:rsidR="000748E5">
        <w:t xml:space="preserve"> </w:t>
      </w:r>
      <w:r w:rsidR="00110EF9">
        <w:t xml:space="preserve"> </w:t>
      </w:r>
      <w:r w:rsidRPr="00764E94">
        <w:t xml:space="preserve"> </w:t>
      </w:r>
      <w:r w:rsidR="001013AD" w:rsidRPr="00BE6357">
        <w:t xml:space="preserve"> </w:t>
      </w:r>
    </w:p>
    <w:p w14:paraId="3308E6B1" w14:textId="023083A5" w:rsidR="00CA448C" w:rsidRPr="00095806" w:rsidRDefault="00DD219A" w:rsidP="00CA448C">
      <w:pPr>
        <w:spacing w:before="120" w:after="0" w:line="240" w:lineRule="auto"/>
        <w:rPr>
          <w:b/>
          <w:bCs/>
          <w:color w:val="C00000"/>
        </w:rPr>
      </w:pPr>
      <w:r>
        <w:rPr>
          <w:rFonts w:asciiTheme="majorHAnsi" w:eastAsiaTheme="majorEastAsia" w:hAnsiTheme="majorHAnsi" w:cstheme="majorBidi"/>
          <w:b/>
          <w:bCs/>
          <w:color w:val="2F5496" w:themeColor="accent1" w:themeShade="BF"/>
          <w:sz w:val="24"/>
          <w:szCs w:val="24"/>
          <w:u w:val="single"/>
        </w:rPr>
        <w:lastRenderedPageBreak/>
        <w:t xml:space="preserve">NSR and Other Air Permitting </w:t>
      </w:r>
      <w:r w:rsidRPr="00840D0F">
        <w:rPr>
          <w:rFonts w:asciiTheme="majorHAnsi" w:eastAsiaTheme="majorEastAsia" w:hAnsiTheme="majorHAnsi" w:cstheme="majorBidi"/>
          <w:b/>
          <w:bCs/>
          <w:color w:val="2F5496" w:themeColor="accent1" w:themeShade="BF"/>
          <w:sz w:val="24"/>
          <w:szCs w:val="24"/>
          <w:u w:val="single"/>
        </w:rPr>
        <w:t>Compliance Strategy</w:t>
      </w:r>
    </w:p>
    <w:p w14:paraId="7786E42C" w14:textId="29F1BA80" w:rsidR="00CA448C" w:rsidRDefault="00CA448C" w:rsidP="00CA448C">
      <w:pPr>
        <w:spacing w:before="120" w:after="0" w:line="240" w:lineRule="auto"/>
      </w:pPr>
      <w:r>
        <w:t>Georgia Power reviews projects for permitting applicability and obtains permits when required</w:t>
      </w:r>
      <w:r w:rsidR="00EB2BE1">
        <w:t xml:space="preserve"> and will </w:t>
      </w:r>
      <w:r>
        <w:t>continue to monitor any developments on permitting regulations, policy, and guidance.</w:t>
      </w:r>
      <w:r w:rsidR="00B16263">
        <w:t xml:space="preserve"> </w:t>
      </w:r>
      <w:r w:rsidR="00B11262">
        <w:t xml:space="preserve">The proposed </w:t>
      </w:r>
      <w:r w:rsidR="0073403B">
        <w:t xml:space="preserve">Plant </w:t>
      </w:r>
      <w:r w:rsidR="00B11262">
        <w:t xml:space="preserve">Yates Units 8-10 simple cycle combustion turbines were reviewed </w:t>
      </w:r>
      <w:r w:rsidR="007708B6">
        <w:t xml:space="preserve">for air permitting applicability, and the Company determined that the project would require a </w:t>
      </w:r>
      <w:r w:rsidR="00207CE0">
        <w:t xml:space="preserve">PSD permit to authorize construction. </w:t>
      </w:r>
      <w:r w:rsidR="00B11262">
        <w:t>The air permit application was submitted</w:t>
      </w:r>
      <w:r w:rsidR="00EB0307">
        <w:t xml:space="preserve"> on December 8, 2023</w:t>
      </w:r>
      <w:r w:rsidR="00274AA6">
        <w:t xml:space="preserve">. The environmental compliance strategy for Plant Yates Units 8 – 10 </w:t>
      </w:r>
      <w:r w:rsidR="00BD74A2">
        <w:t xml:space="preserve">includes SCR and oxidation catalyst technology on </w:t>
      </w:r>
      <w:r w:rsidR="00A3061D">
        <w:t xml:space="preserve">the </w:t>
      </w:r>
      <w:r w:rsidR="00B7275E">
        <w:t xml:space="preserve">dual fuel </w:t>
      </w:r>
      <w:r w:rsidR="00BD74A2">
        <w:t xml:space="preserve">advanced </w:t>
      </w:r>
      <w:r w:rsidR="00A92830">
        <w:t xml:space="preserve">class </w:t>
      </w:r>
      <w:r w:rsidR="00BD74A2">
        <w:t>combustion turbines</w:t>
      </w:r>
      <w:r w:rsidR="002A39C3">
        <w:t xml:space="preserve"> </w:t>
      </w:r>
      <w:proofErr w:type="gramStart"/>
      <w:r w:rsidR="002A39C3">
        <w:t>in order to</w:t>
      </w:r>
      <w:proofErr w:type="gramEnd"/>
      <w:r w:rsidR="002A39C3">
        <w:t xml:space="preserve"> meet state and federal emission standards</w:t>
      </w:r>
      <w:r w:rsidR="000E0539">
        <w:t xml:space="preserve"> and to fulfill the </w:t>
      </w:r>
      <w:r w:rsidR="00CF1D8C">
        <w:t>case-by-case control technology evaluation</w:t>
      </w:r>
      <w:r w:rsidR="00077CAA">
        <w:t xml:space="preserve"> required for PSD permitting</w:t>
      </w:r>
      <w:r w:rsidR="00CF1D8C">
        <w:t>.</w:t>
      </w:r>
      <w:r w:rsidR="0038348E">
        <w:t xml:space="preserve"> </w:t>
      </w:r>
      <w:r w:rsidR="008D1EEA">
        <w:t xml:space="preserve">Plant Yates </w:t>
      </w:r>
      <w:proofErr w:type="gramStart"/>
      <w:r w:rsidR="008D1EEA">
        <w:t>is located in</w:t>
      </w:r>
      <w:proofErr w:type="gramEnd"/>
      <w:r w:rsidR="008D1EEA">
        <w:t xml:space="preserve"> Coweta County, which is in the former Atlanta ozone nonattainment area, and is subject to more stringent NOx emission standards </w:t>
      </w:r>
      <w:r w:rsidR="00285256">
        <w:t>from May through September</w:t>
      </w:r>
      <w:r w:rsidR="00684BD1">
        <w:t>.</w:t>
      </w:r>
      <w:r w:rsidR="00285256">
        <w:t xml:space="preserve"> </w:t>
      </w:r>
      <w:r w:rsidR="00504865">
        <w:t>Although Units 8 – 10 will operate primarily on natural gas, t</w:t>
      </w:r>
      <w:r w:rsidR="00B7275E">
        <w:t xml:space="preserve">he compliance strategy and control configuration </w:t>
      </w:r>
      <w:r w:rsidR="00285256">
        <w:t xml:space="preserve">provide the plant with the flexibility to operate on either </w:t>
      </w:r>
      <w:r w:rsidR="00504865">
        <w:t xml:space="preserve">natural gas or ultra low sulfur diesel fuel </w:t>
      </w:r>
      <w:r w:rsidR="00285256">
        <w:t>throughout the year</w:t>
      </w:r>
      <w:r w:rsidR="0023207D">
        <w:t xml:space="preserve">, </w:t>
      </w:r>
      <w:r w:rsidR="008B6590">
        <w:t>ensuring</w:t>
      </w:r>
      <w:r w:rsidR="0023207D">
        <w:t xml:space="preserve"> a </w:t>
      </w:r>
      <w:r w:rsidR="00184E4C">
        <w:t>reliable</w:t>
      </w:r>
      <w:r w:rsidR="0023207D">
        <w:t xml:space="preserve"> capacity resource for customers</w:t>
      </w:r>
      <w:r w:rsidR="00285256">
        <w:t xml:space="preserve">. </w:t>
      </w:r>
      <w:r w:rsidR="0038348E">
        <w:t xml:space="preserve">Georgia EPD is currently reviewing the application under the Georgia expedited air permitting program and is expected to issue a permit in the </w:t>
      </w:r>
      <w:r w:rsidR="00C41901">
        <w:t>spring of 2024</w:t>
      </w:r>
      <w:r w:rsidR="0038348E">
        <w:t>.</w:t>
      </w:r>
    </w:p>
    <w:p w14:paraId="0CEC5DF4" w14:textId="29D815E3" w:rsidR="00CA448C" w:rsidRPr="00095806" w:rsidRDefault="00CA448C" w:rsidP="00CA448C">
      <w:pPr>
        <w:pStyle w:val="Heading1"/>
        <w:spacing w:before="120" w:after="0"/>
        <w:rPr>
          <w:b/>
          <w:bCs/>
          <w:sz w:val="28"/>
          <w:szCs w:val="28"/>
        </w:rPr>
      </w:pPr>
      <w:bookmarkStart w:id="56" w:name="_Toc130201013"/>
      <w:r w:rsidRPr="00095806">
        <w:rPr>
          <w:b/>
          <w:bCs/>
          <w:sz w:val="28"/>
          <w:szCs w:val="28"/>
        </w:rPr>
        <w:t>2.</w:t>
      </w:r>
      <w:r w:rsidR="00EA02BD">
        <w:rPr>
          <w:b/>
          <w:bCs/>
          <w:sz w:val="28"/>
          <w:szCs w:val="28"/>
        </w:rPr>
        <w:t>3</w:t>
      </w:r>
      <w:r w:rsidRPr="00095806">
        <w:rPr>
          <w:b/>
          <w:bCs/>
          <w:sz w:val="28"/>
          <w:szCs w:val="28"/>
        </w:rPr>
        <w:t>.6 Greenhouse Gas Emissions and Climate Policy</w:t>
      </w:r>
      <w:bookmarkEnd w:id="56"/>
    </w:p>
    <w:p w14:paraId="62DD17C1" w14:textId="77777777" w:rsidR="00CA448C" w:rsidRPr="00095806" w:rsidRDefault="00CA448C" w:rsidP="00CA448C">
      <w:pPr>
        <w:autoSpaceDE w:val="0"/>
        <w:autoSpaceDN w:val="0"/>
        <w:adjustRightInd w:val="0"/>
        <w:spacing w:before="120" w:after="0" w:line="240" w:lineRule="auto"/>
        <w:rPr>
          <w:b/>
          <w:bCs/>
        </w:rPr>
      </w:pPr>
      <w:r w:rsidRPr="00095806">
        <w:rPr>
          <w:rFonts w:asciiTheme="majorHAnsi" w:eastAsiaTheme="majorEastAsia" w:hAnsiTheme="majorHAnsi" w:cstheme="majorBidi"/>
          <w:b/>
          <w:bCs/>
          <w:color w:val="2F5496" w:themeColor="accent1" w:themeShade="BF"/>
          <w:sz w:val="24"/>
          <w:szCs w:val="24"/>
        </w:rPr>
        <w:t>GHG and Renewable/Clean Energy Legislation</w:t>
      </w:r>
    </w:p>
    <w:p w14:paraId="56E53734" w14:textId="77777777" w:rsidR="00CA448C" w:rsidRDefault="00CA448C" w:rsidP="00CA448C">
      <w:pPr>
        <w:spacing w:before="120" w:after="0" w:line="240" w:lineRule="auto"/>
      </w:pPr>
      <w:r>
        <w:t>T</w:t>
      </w:r>
      <w:r w:rsidRPr="00474030">
        <w:t>he U.S</w:t>
      </w:r>
      <w:r>
        <w:t xml:space="preserve">. </w:t>
      </w:r>
      <w:r w:rsidRPr="00474030">
        <w:t>Congress has considered many proposals to reduce GHG emissions and</w:t>
      </w:r>
      <w:r>
        <w:t>/or</w:t>
      </w:r>
      <w:r w:rsidRPr="00474030">
        <w:t xml:space="preserve"> mandate renewable or clean energy</w:t>
      </w:r>
      <w:r>
        <w:t xml:space="preserve">.  </w:t>
      </w:r>
      <w:r w:rsidRPr="002666CE">
        <w:t>These proposals have taken many forms, for example:</w:t>
      </w:r>
      <w:r>
        <w:t xml:space="preserve"> </w:t>
      </w:r>
      <w:r w:rsidRPr="002666CE">
        <w:t>a cap-and-trade program, carbon tax, and renewable/clean energy standards</w:t>
      </w:r>
      <w:r>
        <w:t xml:space="preserve">.  </w:t>
      </w:r>
    </w:p>
    <w:p w14:paraId="3283BBE7" w14:textId="5788091D" w:rsidR="00CA448C" w:rsidRDefault="00CA448C" w:rsidP="00CA448C">
      <w:pPr>
        <w:spacing w:before="120" w:after="0" w:line="240" w:lineRule="auto"/>
        <w:rPr>
          <w:color w:val="393939"/>
          <w:u w:val="single"/>
        </w:rPr>
      </w:pPr>
      <w:r>
        <w:t>Throughout the 116</w:t>
      </w:r>
      <w:r w:rsidRPr="668F7C19">
        <w:rPr>
          <w:vertAlign w:val="superscript"/>
        </w:rPr>
        <w:t>th</w:t>
      </w:r>
      <w:r>
        <w:t xml:space="preserve"> and 117</w:t>
      </w:r>
      <w:r w:rsidRPr="00F61579">
        <w:rPr>
          <w:vertAlign w:val="superscript"/>
        </w:rPr>
        <w:t>th</w:t>
      </w:r>
      <w:r>
        <w:t xml:space="preserve"> Congresses (2019-2022), there was significant activity on climate-related legislation.  Of note, several bills that were introduced focused on an economy</w:t>
      </w:r>
      <w:r w:rsidR="00BC617F">
        <w:t>-</w:t>
      </w:r>
      <w:r>
        <w:t>wide carbon tax.  These proposals typically impose an initial economy-wide price on carbon, e.g., dollars per ton CO2, with varying degrees of escalation each year until the proposal’s specific national emission reduction targets are achieved.  The proposals contemplate initial pricing in a range from $15/ton to $52/ton and increase annually at varying rates.  Another approach to pricing carbon, a clean energy standard, has also been proposed.  As an example, a clean energy standard would set clean energy targets – a percentage of generation from low to zero GHG emitting sources – for retail electricity suppliers that would increase annually to 100% by some future year.</w:t>
      </w:r>
    </w:p>
    <w:p w14:paraId="02CC69FC" w14:textId="055A81DB" w:rsidR="00CA448C" w:rsidRDefault="00CA448C" w:rsidP="00CA448C">
      <w:pPr>
        <w:spacing w:before="120" w:after="0" w:line="240" w:lineRule="auto"/>
      </w:pPr>
      <w:r>
        <w:t>In December 2021, Congress passed the Infrastructure Investment and Jobs Act. The bill invests $1 trillion in the American economy, including roughly $73 billion for power infrastructure, and includes provisions related to cybersecurity and resiliency, broadband deployment, electric vehicle infrastructure deployment, carbon capture and storage (</w:t>
      </w:r>
      <w:r w:rsidR="00C41901">
        <w:t>“</w:t>
      </w:r>
      <w:r>
        <w:t>CCS</w:t>
      </w:r>
      <w:r w:rsidR="00C41901">
        <w:t>”</w:t>
      </w:r>
      <w:r>
        <w:t xml:space="preserve">) related infrastructure and commercialization, hydrogen infrastructure and commercialization, renewable energy and storage demonstrations, hydropower improvements/enhancements, low-income home energy assistance program, </w:t>
      </w:r>
      <w:r w:rsidR="00C41901">
        <w:t xml:space="preserve">the </w:t>
      </w:r>
      <w:r w:rsidR="00C41901">
        <w:rPr>
          <w:rFonts w:eastAsia="Times New Roman" w:cs="Arial"/>
        </w:rPr>
        <w:t>National Environmental Policy Act (“</w:t>
      </w:r>
      <w:r>
        <w:t>NEPA</w:t>
      </w:r>
      <w:r w:rsidR="00C41901">
        <w:t>”)</w:t>
      </w:r>
      <w:r>
        <w:t xml:space="preserve">, Minority Business Development Agency, nuclear, “Buy America,” and grid infrastructure and transmission. </w:t>
      </w:r>
    </w:p>
    <w:p w14:paraId="458B848A" w14:textId="527F14C5" w:rsidR="00A61F8B" w:rsidRPr="00D03FC5" w:rsidRDefault="00D03FC5" w:rsidP="00D03FC5">
      <w:pPr>
        <w:spacing w:before="120" w:after="0"/>
      </w:pPr>
      <w:r>
        <w:t>I</w:t>
      </w:r>
      <w:r w:rsidR="00A61F8B" w:rsidRPr="00D03FC5">
        <w:t>n August 2022, the Inflation Reduction Act (</w:t>
      </w:r>
      <w:r w:rsidR="00C41901">
        <w:t>“</w:t>
      </w:r>
      <w:r w:rsidR="00A61F8B" w:rsidRPr="00D03FC5">
        <w:t>IRA</w:t>
      </w:r>
      <w:r w:rsidR="00C41901">
        <w:t>”</w:t>
      </w:r>
      <w:r w:rsidR="00A61F8B" w:rsidRPr="00D03FC5">
        <w:t>) was signed into law, providing $369 billion in funding for clean energy and climate related policies. The IRA extends, expands, and increases production and investment tax credits for clean energy projects, such as solar, wind, nuclear, hydrogen, energy storage, and carbon capture and sequestration.</w:t>
      </w:r>
    </w:p>
    <w:p w14:paraId="485EF05B" w14:textId="77777777" w:rsidR="00C41901" w:rsidRDefault="00C41901" w:rsidP="00CA448C">
      <w:pPr>
        <w:spacing w:before="120" w:after="0" w:line="240" w:lineRule="auto"/>
        <w:rPr>
          <w:rFonts w:asciiTheme="majorHAnsi" w:eastAsiaTheme="majorEastAsia" w:hAnsiTheme="majorHAnsi" w:cstheme="majorBidi"/>
          <w:b/>
          <w:bCs/>
          <w:color w:val="2F5496" w:themeColor="accent1" w:themeShade="BF"/>
          <w:sz w:val="24"/>
          <w:szCs w:val="24"/>
        </w:rPr>
      </w:pPr>
    </w:p>
    <w:p w14:paraId="5D8EB29A" w14:textId="77777777" w:rsidR="00C41901" w:rsidRDefault="00C41901" w:rsidP="00CA448C">
      <w:pPr>
        <w:spacing w:before="120" w:after="0" w:line="240" w:lineRule="auto"/>
        <w:rPr>
          <w:rFonts w:asciiTheme="majorHAnsi" w:eastAsiaTheme="majorEastAsia" w:hAnsiTheme="majorHAnsi" w:cstheme="majorBidi"/>
          <w:b/>
          <w:bCs/>
          <w:color w:val="2F5496" w:themeColor="accent1" w:themeShade="BF"/>
          <w:sz w:val="24"/>
          <w:szCs w:val="24"/>
        </w:rPr>
      </w:pPr>
    </w:p>
    <w:p w14:paraId="6C2A5D2F" w14:textId="7D37B7AF" w:rsidR="00CA448C" w:rsidRPr="00B36AEC" w:rsidRDefault="00CA448C" w:rsidP="00CA448C">
      <w:pPr>
        <w:spacing w:before="120" w:after="0" w:line="240" w:lineRule="auto"/>
        <w:rPr>
          <w:rStyle w:val="Style1Char"/>
          <w:rFonts w:eastAsiaTheme="minorEastAsia"/>
          <w:b w:val="0"/>
          <w:bCs w:val="0"/>
        </w:rPr>
      </w:pPr>
      <w:r w:rsidRPr="00B36AEC">
        <w:rPr>
          <w:rFonts w:asciiTheme="majorHAnsi" w:eastAsiaTheme="majorEastAsia" w:hAnsiTheme="majorHAnsi" w:cstheme="majorBidi"/>
          <w:b/>
          <w:bCs/>
          <w:color w:val="2F5496" w:themeColor="accent1" w:themeShade="BF"/>
          <w:sz w:val="24"/>
          <w:szCs w:val="24"/>
        </w:rPr>
        <w:lastRenderedPageBreak/>
        <w:t xml:space="preserve">Global Climate Change International Initiatives </w:t>
      </w:r>
    </w:p>
    <w:p w14:paraId="3045C61E" w14:textId="62CA0F9B" w:rsidR="00CA448C" w:rsidRDefault="00CA448C" w:rsidP="00CA448C">
      <w:pPr>
        <w:spacing w:before="120" w:after="0" w:line="240" w:lineRule="auto"/>
      </w:pPr>
      <w:r w:rsidRPr="002666CE">
        <w:t>International climate change negotiations under the United Nations Framework Convention on Climate Change (</w:t>
      </w:r>
      <w:r w:rsidR="00A83960">
        <w:t>“</w:t>
      </w:r>
      <w:r w:rsidRPr="002666CE">
        <w:t>UNFCCC</w:t>
      </w:r>
      <w:r w:rsidR="00A83960">
        <w:t>”</w:t>
      </w:r>
      <w:r w:rsidRPr="002666CE">
        <w:t xml:space="preserve"> or </w:t>
      </w:r>
      <w:r w:rsidR="00A83960">
        <w:t>“</w:t>
      </w:r>
      <w:r w:rsidRPr="002666CE">
        <w:t>Convention</w:t>
      </w:r>
      <w:r w:rsidR="00A83960">
        <w:t>”</w:t>
      </w:r>
      <w:r w:rsidRPr="002666CE">
        <w:t>) continue</w:t>
      </w:r>
      <w:r>
        <w:t xml:space="preserve">.  </w:t>
      </w:r>
      <w:r w:rsidRPr="002666CE">
        <w:t>Since 2005, the Convention has established various “working groups” to address key issues and negotiate future climate-related international agreements</w:t>
      </w:r>
      <w:r>
        <w:t xml:space="preserve">.  </w:t>
      </w:r>
      <w:r w:rsidRPr="002666CE">
        <w:t xml:space="preserve">The </w:t>
      </w:r>
      <w:r>
        <w:t>w</w:t>
      </w:r>
      <w:r w:rsidRPr="002666CE">
        <w:t xml:space="preserve">orking </w:t>
      </w:r>
      <w:r>
        <w:t>g</w:t>
      </w:r>
      <w:r w:rsidRPr="002666CE">
        <w:t>roups meet periodically throughout the year and, along with the formal subsidiary bodies to the Convention, again at the annual Conference of Parties (</w:t>
      </w:r>
      <w:r w:rsidR="00A83960">
        <w:t>“</w:t>
      </w:r>
      <w:r w:rsidRPr="002666CE">
        <w:t>COP</w:t>
      </w:r>
      <w:r w:rsidR="00A83960">
        <w:t>”</w:t>
      </w:r>
      <w:r w:rsidRPr="002666CE">
        <w:t>)</w:t>
      </w:r>
      <w:r>
        <w:t>,</w:t>
      </w:r>
      <w:r w:rsidRPr="002666CE">
        <w:t xml:space="preserve"> a Meeting of the Parties to the Kyoto Protocol (</w:t>
      </w:r>
      <w:r w:rsidR="00A83960">
        <w:t>“</w:t>
      </w:r>
      <w:r w:rsidRPr="002666CE">
        <w:t>CMP</w:t>
      </w:r>
      <w:r w:rsidR="00A83960">
        <w:t>”</w:t>
      </w:r>
      <w:r w:rsidRPr="002666CE">
        <w:t>)</w:t>
      </w:r>
      <w:r>
        <w:t>, and a Meeting of Parties to the Paris Agreement (</w:t>
      </w:r>
      <w:r w:rsidR="00A83960">
        <w:t>“</w:t>
      </w:r>
      <w:r>
        <w:t>CMA</w:t>
      </w:r>
      <w:r w:rsidR="00A83960">
        <w:t>”</w:t>
      </w:r>
      <w:r>
        <w:t xml:space="preserve">).  </w:t>
      </w:r>
      <w:r w:rsidRPr="002666CE">
        <w:t>The COP is the supreme decision-making body of the Convention, which reviews the implementation of the Convention and other legal instruments</w:t>
      </w:r>
      <w:r>
        <w:t xml:space="preserve">.  </w:t>
      </w:r>
      <w:r w:rsidRPr="002666CE">
        <w:t>The CMP reviews the implementation of the Kyoto Protocol</w:t>
      </w:r>
      <w:r>
        <w:t xml:space="preserve">.  The CMA oversees the implementation of the Paris Agreement, which was adopted in 2015 and establishes a universal framework for addressing greenhouse gas emissions based on nationally determined contributions.  It also sets in place a process for increasing those commitments every five years.  </w:t>
      </w:r>
    </w:p>
    <w:p w14:paraId="7FCE320E" w14:textId="77777777" w:rsidR="00CA448C" w:rsidRPr="007C090A" w:rsidRDefault="00CA448C" w:rsidP="00CA448C">
      <w:pPr>
        <w:spacing w:before="120" w:after="0" w:line="240" w:lineRule="auto"/>
        <w:rPr>
          <w:rFonts w:eastAsia="Arial"/>
        </w:rPr>
      </w:pPr>
      <w:r>
        <w:t xml:space="preserve">The United States joined the Paris Agreement in 2016, withdrew in 2020, and reentered in 2021. After rejoining, </w:t>
      </w:r>
      <w:r w:rsidRPr="007C090A">
        <w:rPr>
          <w:rFonts w:eastAsia="Arial"/>
        </w:rPr>
        <w:t>President Biden subsequently announced a new country-specific commitment under the Paris Agreement for the United States to achieve a 50 to 52 percent reduction from 2005 levels in economy-wide net GHG emissions in 2030.</w:t>
      </w:r>
    </w:p>
    <w:p w14:paraId="24633607" w14:textId="387B29AC" w:rsidR="00CA448C" w:rsidRDefault="00CA448C" w:rsidP="00CA448C">
      <w:pPr>
        <w:spacing w:before="120" w:after="0" w:line="240" w:lineRule="auto"/>
      </w:pPr>
      <w:r w:rsidRPr="007C090A">
        <w:rPr>
          <w:rFonts w:eastAsia="Arial"/>
        </w:rPr>
        <w:t>In October and November 2021, COP 26 was held in Glasgow, Scotland, United Kingdom.  As a result of the Glasgow Climate Pact, nations, including the U.S., committed to</w:t>
      </w:r>
      <w:r>
        <w:t xml:space="preserve"> a</w:t>
      </w:r>
      <w:r w:rsidRPr="003745BC">
        <w:t xml:space="preserve"> phase down of unabated coal (without carbon capture) and</w:t>
      </w:r>
      <w:r>
        <w:t xml:space="preserve"> subsidies for fossil fuels. Also, </w:t>
      </w:r>
      <w:r w:rsidR="007D750E" w:rsidRPr="003745BC">
        <w:t>the Global Methane Pledge</w:t>
      </w:r>
      <w:r w:rsidR="007D750E">
        <w:t xml:space="preserve"> included</w:t>
      </w:r>
      <w:r>
        <w:t xml:space="preserve"> o</w:t>
      </w:r>
      <w:r w:rsidRPr="003745BC">
        <w:t xml:space="preserve">ne hundred </w:t>
      </w:r>
      <w:r>
        <w:t>world</w:t>
      </w:r>
      <w:r w:rsidRPr="003745BC">
        <w:t xml:space="preserve"> leaders</w:t>
      </w:r>
      <w:r>
        <w:t>, including President Biden,</w:t>
      </w:r>
      <w:r w:rsidRPr="003745BC">
        <w:t xml:space="preserve"> </w:t>
      </w:r>
      <w:r w:rsidR="007D750E">
        <w:t xml:space="preserve">who </w:t>
      </w:r>
      <w:r w:rsidRPr="003745BC">
        <w:t>agreed to cut methane emissions by 30% by 2030</w:t>
      </w:r>
      <w:r>
        <w:t>.</w:t>
      </w:r>
    </w:p>
    <w:p w14:paraId="67910F2A" w14:textId="0AC458B4" w:rsidR="00A61F8B" w:rsidRDefault="00A61F8B" w:rsidP="008B49B4">
      <w:pPr>
        <w:spacing w:before="120" w:after="0" w:line="240" w:lineRule="auto"/>
      </w:pPr>
      <w:r w:rsidRPr="003B0813">
        <w:t>COP 27 was held in November 2022 in Sharm el-Sheikh, Egypt.  While no additional international agreements on emissions reductions resulted at the meeting, member nations agreed to create a “loss and damage” fund for vulnerable countries impacted by climate-related disasters.</w:t>
      </w:r>
      <w:r w:rsidR="003B0813">
        <w:t xml:space="preserve"> Also i</w:t>
      </w:r>
      <w:r w:rsidRPr="003B0813">
        <w:t>n November 2022, the U.S. announced intentions to develop an international carbon offsets program to help fund greenhouse gas reductions in developing countries.</w:t>
      </w:r>
    </w:p>
    <w:p w14:paraId="0D1C7699" w14:textId="7A0C70A2" w:rsidR="00CA448C" w:rsidRDefault="00CA448C" w:rsidP="00CA448C">
      <w:pPr>
        <w:spacing w:before="120" w:after="0" w:line="240" w:lineRule="auto"/>
        <w:rPr>
          <w:rFonts w:cs="Arial"/>
          <w:b/>
          <w:bCs/>
          <w:szCs w:val="24"/>
        </w:rPr>
      </w:pPr>
      <w:r>
        <w:rPr>
          <w:rFonts w:cs="Arial"/>
          <w:b/>
          <w:bCs/>
          <w:szCs w:val="24"/>
        </w:rPr>
        <w:t>New</w:t>
      </w:r>
      <w:r w:rsidRPr="00232354">
        <w:rPr>
          <w:rFonts w:cs="Arial"/>
          <w:b/>
          <w:bCs/>
          <w:szCs w:val="24"/>
        </w:rPr>
        <w:t xml:space="preserve"> Regulatory Updates</w:t>
      </w:r>
    </w:p>
    <w:p w14:paraId="14C7B740" w14:textId="3D2AC1F5" w:rsidR="00A61F8B" w:rsidRPr="00234FE3" w:rsidRDefault="00A61F8B" w:rsidP="008B5328">
      <w:pPr>
        <w:pStyle w:val="ListParagraph"/>
        <w:numPr>
          <w:ilvl w:val="0"/>
          <w:numId w:val="3"/>
        </w:numPr>
        <w:spacing w:after="0"/>
        <w:rPr>
          <w:rFonts w:asciiTheme="minorHAnsi" w:eastAsiaTheme="minorEastAsia" w:hAnsiTheme="minorHAnsi"/>
          <w:sz w:val="22"/>
        </w:rPr>
      </w:pPr>
      <w:r>
        <w:rPr>
          <w:rFonts w:asciiTheme="minorHAnsi" w:eastAsiaTheme="minorEastAsia" w:hAnsiTheme="minorHAnsi"/>
          <w:sz w:val="22"/>
        </w:rPr>
        <w:t>C</w:t>
      </w:r>
      <w:r w:rsidR="001B26D9" w:rsidRPr="001B26D9">
        <w:rPr>
          <w:rFonts w:asciiTheme="minorHAnsi" w:eastAsiaTheme="minorEastAsia" w:hAnsiTheme="minorHAnsi"/>
          <w:sz w:val="22"/>
        </w:rPr>
        <w:t xml:space="preserve">OP 28 was held </w:t>
      </w:r>
      <w:r w:rsidR="001B26D9">
        <w:rPr>
          <w:rFonts w:asciiTheme="minorHAnsi" w:eastAsiaTheme="minorEastAsia" w:hAnsiTheme="minorHAnsi"/>
          <w:sz w:val="22"/>
        </w:rPr>
        <w:t xml:space="preserve">from November 30 to December </w:t>
      </w:r>
      <w:r w:rsidR="00371B8D">
        <w:rPr>
          <w:rFonts w:asciiTheme="minorHAnsi" w:eastAsiaTheme="minorEastAsia" w:hAnsiTheme="minorHAnsi"/>
          <w:sz w:val="22"/>
        </w:rPr>
        <w:t xml:space="preserve">12, 2023, </w:t>
      </w:r>
      <w:r w:rsidR="001B26D9" w:rsidRPr="001B26D9">
        <w:rPr>
          <w:rFonts w:asciiTheme="minorHAnsi" w:eastAsiaTheme="minorEastAsia" w:hAnsiTheme="minorHAnsi"/>
          <w:sz w:val="22"/>
        </w:rPr>
        <w:t>in Dubai, United Arab Emirates. The conference resulted in a 200-country agreement, including the United States, that commits to “transitioning away from fossil fuels in energy systems, in a just, orderly and equitable manner … so as to achieve net zero by 2050 in keeping with the science.”</w:t>
      </w:r>
    </w:p>
    <w:p w14:paraId="3514BC35" w14:textId="77777777" w:rsidR="00CA448C" w:rsidRPr="00B36AEC" w:rsidRDefault="00CA448C" w:rsidP="00CA448C">
      <w:pPr>
        <w:spacing w:before="120" w:after="0" w:line="240" w:lineRule="auto"/>
        <w:rPr>
          <w:rStyle w:val="Style1Char"/>
          <w:rFonts w:eastAsiaTheme="minorEastAsia"/>
          <w:b w:val="0"/>
          <w:bCs w:val="0"/>
        </w:rPr>
      </w:pPr>
      <w:r w:rsidRPr="00B36AEC">
        <w:rPr>
          <w:rFonts w:asciiTheme="majorHAnsi" w:eastAsiaTheme="majorEastAsia" w:hAnsiTheme="majorHAnsi" w:cstheme="majorBidi"/>
          <w:b/>
          <w:bCs/>
          <w:color w:val="2F5496" w:themeColor="accent1" w:themeShade="BF"/>
          <w:sz w:val="24"/>
          <w:szCs w:val="24"/>
        </w:rPr>
        <w:t xml:space="preserve">Social Cost of Greenhouse Gas </w:t>
      </w:r>
    </w:p>
    <w:p w14:paraId="026BA8D4" w14:textId="73476CF8" w:rsidR="00A61F8B" w:rsidRDefault="00CA448C" w:rsidP="00830DD0">
      <w:pPr>
        <w:spacing w:before="120" w:after="0" w:line="240" w:lineRule="auto"/>
        <w:rPr>
          <w:rFonts w:eastAsia="Arial"/>
          <w:b/>
          <w:bCs/>
        </w:rPr>
      </w:pPr>
      <w:r w:rsidRPr="00585D07">
        <w:t xml:space="preserve">The </w:t>
      </w:r>
      <w:r>
        <w:t xml:space="preserve">social cost of </w:t>
      </w:r>
      <w:r w:rsidR="00162105">
        <w:t xml:space="preserve">greenhouse gas </w:t>
      </w:r>
      <w:r>
        <w:t>(“SC-GHG”)</w:t>
      </w:r>
      <w:r w:rsidRPr="00585D07">
        <w:t xml:space="preserve"> is a monetary estimate of the damages from climate change</w:t>
      </w:r>
      <w:r>
        <w:t xml:space="preserve"> to society </w:t>
      </w:r>
      <w:proofErr w:type="gramStart"/>
      <w:r>
        <w:t xml:space="preserve">as a whole </w:t>
      </w:r>
      <w:r w:rsidRPr="00585D07">
        <w:t>from</w:t>
      </w:r>
      <w:proofErr w:type="gramEnd"/>
      <w:r w:rsidRPr="00585D07">
        <w:t xml:space="preserve"> emitting a</w:t>
      </w:r>
      <w:r>
        <w:t>n</w:t>
      </w:r>
      <w:r w:rsidRPr="00585D07">
        <w:t xml:space="preserve"> </w:t>
      </w:r>
      <w:r>
        <w:t>incremental amount of GHGs.  D</w:t>
      </w:r>
      <w:r w:rsidRPr="00585D07">
        <w:t>amage estimates</w:t>
      </w:r>
      <w:r>
        <w:t>, which include direct and indirect impacts,</w:t>
      </w:r>
      <w:r w:rsidRPr="00585D07">
        <w:t xml:space="preserve"> have</w:t>
      </w:r>
      <w:r>
        <w:t xml:space="preserve"> </w:t>
      </w:r>
      <w:r w:rsidRPr="00585D07">
        <w:t xml:space="preserve">also been created for emissions of other GHGs, including methane and nitrous oxide. </w:t>
      </w:r>
      <w:r>
        <w:t>EPA and other agencies may use t</w:t>
      </w:r>
      <w:r w:rsidRPr="16982F57">
        <w:t>his</w:t>
      </w:r>
      <w:r w:rsidRPr="00C60A3A">
        <w:t xml:space="preserve"> tool to incorporate the social benefits of reductions</w:t>
      </w:r>
      <w:r>
        <w:t>, or the harm from emitting,</w:t>
      </w:r>
      <w:r w:rsidRPr="00C60A3A">
        <w:t xml:space="preserve"> GHGs into cost-benefit analysis of regulatory actions that impact cumulative global emissions.</w:t>
      </w:r>
      <w:r w:rsidRPr="16982F57">
        <w:t xml:space="preserve"> </w:t>
      </w:r>
      <w:r>
        <w:t>I</w:t>
      </w:r>
      <w:r w:rsidRPr="00C60A3A">
        <w:t xml:space="preserve">n February 2021, the Interagency Working Group on Social Cost of GHGs announced an interim </w:t>
      </w:r>
      <w:r w:rsidR="00C52CA9">
        <w:t>SC-GHG</w:t>
      </w:r>
      <w:r w:rsidR="0045137D">
        <w:t>s</w:t>
      </w:r>
      <w:r w:rsidRPr="00C60A3A">
        <w:t xml:space="preserve"> at $51/ton for CO</w:t>
      </w:r>
      <w:r w:rsidRPr="00002B0D">
        <w:rPr>
          <w:vertAlign w:val="subscript"/>
        </w:rPr>
        <w:t>2</w:t>
      </w:r>
      <w:r w:rsidRPr="00C60A3A">
        <w:t xml:space="preserve"> at a 3% discount rate</w:t>
      </w:r>
      <w:r w:rsidRPr="004D48D4">
        <w:t xml:space="preserve">, reinstituting the values that were in effect under the Obama Administration that were drastically lowered during the Trump Administration. </w:t>
      </w:r>
      <w:r w:rsidR="00830DD0">
        <w:t>The interim SC-GHG was subsequently challenged by group</w:t>
      </w:r>
      <w:r w:rsidR="007E2D6D">
        <w:t>s</w:t>
      </w:r>
      <w:r w:rsidR="00830DD0">
        <w:t xml:space="preserve"> of states</w:t>
      </w:r>
      <w:r w:rsidR="000F3FE8">
        <w:t xml:space="preserve"> in two different district courts with mixed results</w:t>
      </w:r>
      <w:r w:rsidR="00A61F8B">
        <w:rPr>
          <w:rFonts w:eastAsia="Arial"/>
        </w:rPr>
        <w:t>.</w:t>
      </w:r>
    </w:p>
    <w:p w14:paraId="7738740D" w14:textId="20933CA3" w:rsidR="00A61F8B" w:rsidRDefault="007A18CD" w:rsidP="007A18CD">
      <w:pPr>
        <w:pStyle w:val="Style1"/>
        <w:keepNext w:val="0"/>
        <w:spacing w:before="120"/>
        <w:rPr>
          <w:rFonts w:asciiTheme="minorHAnsi" w:eastAsia="Arial" w:hAnsiTheme="minorHAnsi" w:cstheme="minorBidi"/>
          <w:b w:val="0"/>
          <w:bCs w:val="0"/>
          <w:color w:val="auto"/>
          <w:sz w:val="22"/>
          <w:szCs w:val="22"/>
        </w:rPr>
      </w:pPr>
      <w:r>
        <w:rPr>
          <w:rFonts w:asciiTheme="minorHAnsi" w:eastAsia="Arial" w:hAnsiTheme="minorHAnsi" w:cstheme="minorBidi"/>
          <w:b w:val="0"/>
          <w:bCs w:val="0"/>
          <w:color w:val="auto"/>
          <w:sz w:val="22"/>
          <w:szCs w:val="22"/>
        </w:rPr>
        <w:t>In</w:t>
      </w:r>
      <w:r w:rsidR="00A61F8B">
        <w:rPr>
          <w:rFonts w:asciiTheme="minorHAnsi" w:eastAsia="Arial" w:hAnsiTheme="minorHAnsi" w:cstheme="minorBidi"/>
          <w:b w:val="0"/>
          <w:bCs w:val="0"/>
          <w:color w:val="auto"/>
          <w:sz w:val="22"/>
          <w:szCs w:val="22"/>
        </w:rPr>
        <w:t xml:space="preserve"> November 2022</w:t>
      </w:r>
      <w:r w:rsidR="00A61F8B" w:rsidRPr="006F17A5">
        <w:rPr>
          <w:rFonts w:asciiTheme="minorHAnsi" w:eastAsia="Arial" w:hAnsiTheme="minorHAnsi" w:cstheme="minorBidi"/>
          <w:b w:val="0"/>
          <w:bCs w:val="0"/>
          <w:color w:val="auto"/>
          <w:sz w:val="22"/>
          <w:szCs w:val="22"/>
        </w:rPr>
        <w:t xml:space="preserve">, as part of the supplementary material released with proposed </w:t>
      </w:r>
      <w:r w:rsidR="00A61F8B">
        <w:rPr>
          <w:rFonts w:asciiTheme="minorHAnsi" w:eastAsia="Arial" w:hAnsiTheme="minorHAnsi" w:cstheme="minorBidi"/>
          <w:b w:val="0"/>
          <w:bCs w:val="0"/>
          <w:color w:val="auto"/>
          <w:sz w:val="22"/>
          <w:szCs w:val="22"/>
        </w:rPr>
        <w:t>S</w:t>
      </w:r>
      <w:r w:rsidR="00A61F8B" w:rsidRPr="006F17A5">
        <w:rPr>
          <w:rFonts w:asciiTheme="minorHAnsi" w:eastAsia="Arial" w:hAnsiTheme="minorHAnsi" w:cstheme="minorBidi"/>
          <w:b w:val="0"/>
          <w:bCs w:val="0"/>
          <w:color w:val="auto"/>
          <w:sz w:val="22"/>
          <w:szCs w:val="22"/>
        </w:rPr>
        <w:t xml:space="preserve">ection 111 methane regulations for the oil and gas sector, the EPA released </w:t>
      </w:r>
      <w:r w:rsidR="00A61F8B">
        <w:rPr>
          <w:rFonts w:asciiTheme="minorHAnsi" w:eastAsia="Arial" w:hAnsiTheme="minorHAnsi" w:cstheme="minorBidi"/>
          <w:b w:val="0"/>
          <w:bCs w:val="0"/>
          <w:color w:val="auto"/>
          <w:sz w:val="22"/>
          <w:szCs w:val="22"/>
        </w:rPr>
        <w:t xml:space="preserve">a draft report which </w:t>
      </w:r>
      <w:r w:rsidR="00A61F8B" w:rsidRPr="006F17A5">
        <w:rPr>
          <w:rFonts w:asciiTheme="minorHAnsi" w:eastAsia="Arial" w:hAnsiTheme="minorHAnsi" w:cstheme="minorBidi"/>
          <w:b w:val="0"/>
          <w:bCs w:val="0"/>
          <w:color w:val="auto"/>
          <w:sz w:val="22"/>
          <w:szCs w:val="22"/>
        </w:rPr>
        <w:t>updated estimates for the SC</w:t>
      </w:r>
      <w:r w:rsidR="00A61F8B">
        <w:rPr>
          <w:rFonts w:asciiTheme="minorHAnsi" w:eastAsia="Arial" w:hAnsiTheme="minorHAnsi" w:cstheme="minorBidi"/>
          <w:b w:val="0"/>
          <w:bCs w:val="0"/>
          <w:color w:val="auto"/>
          <w:sz w:val="22"/>
          <w:szCs w:val="22"/>
        </w:rPr>
        <w:t>-</w:t>
      </w:r>
      <w:r w:rsidR="00A61F8B" w:rsidRPr="006F17A5">
        <w:rPr>
          <w:rFonts w:asciiTheme="minorHAnsi" w:eastAsia="Arial" w:hAnsiTheme="minorHAnsi" w:cstheme="minorBidi"/>
          <w:b w:val="0"/>
          <w:bCs w:val="0"/>
          <w:color w:val="auto"/>
          <w:sz w:val="22"/>
          <w:szCs w:val="22"/>
        </w:rPr>
        <w:t>GHGs</w:t>
      </w:r>
      <w:r w:rsidR="00A61F8B">
        <w:rPr>
          <w:rFonts w:asciiTheme="minorHAnsi" w:eastAsia="Arial" w:hAnsiTheme="minorHAnsi" w:cstheme="minorBidi"/>
          <w:b w:val="0"/>
          <w:bCs w:val="0"/>
          <w:color w:val="auto"/>
          <w:sz w:val="22"/>
          <w:szCs w:val="22"/>
        </w:rPr>
        <w:t xml:space="preserve">, including </w:t>
      </w:r>
      <w:r w:rsidR="00A61F8B" w:rsidRPr="006F17A5">
        <w:rPr>
          <w:rFonts w:asciiTheme="minorHAnsi" w:eastAsia="Arial" w:hAnsiTheme="minorHAnsi" w:cstheme="minorBidi"/>
          <w:b w:val="0"/>
          <w:bCs w:val="0"/>
          <w:color w:val="auto"/>
          <w:sz w:val="22"/>
          <w:szCs w:val="22"/>
        </w:rPr>
        <w:t xml:space="preserve">estimates that the social cost of carbon in 2020, in 2020 dollars, is between $120 to </w:t>
      </w:r>
      <w:r w:rsidR="00A61F8B" w:rsidRPr="006F17A5">
        <w:rPr>
          <w:rFonts w:asciiTheme="minorHAnsi" w:eastAsia="Arial" w:hAnsiTheme="minorHAnsi" w:cstheme="minorBidi"/>
          <w:b w:val="0"/>
          <w:bCs w:val="0"/>
          <w:color w:val="auto"/>
          <w:sz w:val="22"/>
          <w:szCs w:val="22"/>
        </w:rPr>
        <w:lastRenderedPageBreak/>
        <w:t>$340 per metric ton, and the social cost of methane is $1,300 to $2,300 per metric ton, using discount rates between 2.5 percent to 1.5 percent, respectively.</w:t>
      </w:r>
    </w:p>
    <w:p w14:paraId="5DB69972" w14:textId="559D1E3D" w:rsidR="00830DD0" w:rsidRPr="00830DD0" w:rsidRDefault="00830DD0" w:rsidP="00830DD0">
      <w:pPr>
        <w:spacing w:before="120" w:after="0"/>
      </w:pPr>
      <w:r>
        <w:rPr>
          <w:rFonts w:cs="Arial"/>
          <w:b/>
          <w:bCs/>
          <w:szCs w:val="24"/>
        </w:rPr>
        <w:t>New</w:t>
      </w:r>
      <w:r w:rsidRPr="00232354">
        <w:rPr>
          <w:rFonts w:cs="Arial"/>
          <w:b/>
          <w:bCs/>
          <w:szCs w:val="24"/>
        </w:rPr>
        <w:t xml:space="preserve"> Regulatory Updates</w:t>
      </w:r>
    </w:p>
    <w:p w14:paraId="19DA3D9B" w14:textId="1BBD91FB" w:rsidR="00830DD0" w:rsidRDefault="005A39AB" w:rsidP="008B5328">
      <w:pPr>
        <w:pStyle w:val="ListParagraph"/>
        <w:numPr>
          <w:ilvl w:val="0"/>
          <w:numId w:val="3"/>
        </w:numPr>
        <w:spacing w:after="0"/>
        <w:rPr>
          <w:rFonts w:asciiTheme="minorHAnsi" w:eastAsiaTheme="minorEastAsia" w:hAnsiTheme="minorHAnsi"/>
          <w:sz w:val="22"/>
        </w:rPr>
      </w:pPr>
      <w:r>
        <w:rPr>
          <w:rFonts w:asciiTheme="minorHAnsi" w:eastAsiaTheme="minorEastAsia" w:hAnsiTheme="minorHAnsi"/>
          <w:sz w:val="22"/>
        </w:rPr>
        <w:t xml:space="preserve">On April 5, 2023, </w:t>
      </w:r>
      <w:r w:rsidR="00FF60DD">
        <w:rPr>
          <w:rFonts w:asciiTheme="minorHAnsi" w:eastAsiaTheme="minorEastAsia" w:hAnsiTheme="minorHAnsi"/>
          <w:sz w:val="22"/>
        </w:rPr>
        <w:t xml:space="preserve">the Fifth Circuit Court of </w:t>
      </w:r>
      <w:r w:rsidR="007C16EB">
        <w:rPr>
          <w:rFonts w:asciiTheme="minorHAnsi" w:eastAsiaTheme="minorEastAsia" w:hAnsiTheme="minorHAnsi"/>
          <w:sz w:val="22"/>
        </w:rPr>
        <w:t>A</w:t>
      </w:r>
      <w:r w:rsidR="00FF60DD">
        <w:rPr>
          <w:rFonts w:asciiTheme="minorHAnsi" w:eastAsiaTheme="minorEastAsia" w:hAnsiTheme="minorHAnsi"/>
          <w:sz w:val="22"/>
        </w:rPr>
        <w:t xml:space="preserve">ppeals dismissed </w:t>
      </w:r>
      <w:r w:rsidR="007C16EB">
        <w:rPr>
          <w:rFonts w:asciiTheme="minorHAnsi" w:eastAsiaTheme="minorEastAsia" w:hAnsiTheme="minorHAnsi"/>
          <w:sz w:val="22"/>
        </w:rPr>
        <w:t xml:space="preserve">the challenge of the interim SC-GHG by a group of states </w:t>
      </w:r>
      <w:r w:rsidR="000F3FE8">
        <w:rPr>
          <w:rFonts w:asciiTheme="minorHAnsi" w:eastAsiaTheme="minorEastAsia" w:hAnsiTheme="minorHAnsi"/>
          <w:sz w:val="22"/>
        </w:rPr>
        <w:t>led by Louisiana</w:t>
      </w:r>
      <w:r w:rsidR="007C16EB">
        <w:rPr>
          <w:rFonts w:asciiTheme="minorHAnsi" w:eastAsiaTheme="minorEastAsia" w:hAnsiTheme="minorHAnsi"/>
          <w:sz w:val="22"/>
        </w:rPr>
        <w:t>, using simil</w:t>
      </w:r>
      <w:r w:rsidR="000D29A0">
        <w:rPr>
          <w:rFonts w:asciiTheme="minorHAnsi" w:eastAsiaTheme="minorEastAsia" w:hAnsiTheme="minorHAnsi"/>
          <w:sz w:val="22"/>
        </w:rPr>
        <w:t xml:space="preserve">ar reasoning related to </w:t>
      </w:r>
      <w:r w:rsidR="00FF60DD">
        <w:rPr>
          <w:rFonts w:asciiTheme="minorHAnsi" w:eastAsiaTheme="minorEastAsia" w:hAnsiTheme="minorHAnsi"/>
          <w:sz w:val="22"/>
        </w:rPr>
        <w:t>lack of standing</w:t>
      </w:r>
      <w:r w:rsidR="000D29A0">
        <w:rPr>
          <w:rFonts w:asciiTheme="minorHAnsi" w:eastAsiaTheme="minorEastAsia" w:hAnsiTheme="minorHAnsi"/>
          <w:sz w:val="22"/>
        </w:rPr>
        <w:t xml:space="preserve"> cited by the Eighth Circuit Court of Appeals </w:t>
      </w:r>
      <w:r w:rsidR="00C060F4">
        <w:rPr>
          <w:rFonts w:asciiTheme="minorHAnsi" w:eastAsiaTheme="minorEastAsia" w:hAnsiTheme="minorHAnsi"/>
          <w:sz w:val="22"/>
        </w:rPr>
        <w:t>in 2022</w:t>
      </w:r>
      <w:r w:rsidR="00FF60DD">
        <w:rPr>
          <w:rFonts w:asciiTheme="minorHAnsi" w:eastAsiaTheme="minorEastAsia" w:hAnsiTheme="minorHAnsi"/>
          <w:sz w:val="22"/>
        </w:rPr>
        <w:t>.</w:t>
      </w:r>
    </w:p>
    <w:p w14:paraId="15B1432E" w14:textId="2A15B1A9" w:rsidR="008D216A" w:rsidRDefault="008D216A" w:rsidP="00830DD0">
      <w:pPr>
        <w:pStyle w:val="ListParagraph"/>
        <w:numPr>
          <w:ilvl w:val="0"/>
          <w:numId w:val="3"/>
        </w:numPr>
        <w:spacing w:before="120" w:after="0"/>
        <w:rPr>
          <w:rFonts w:asciiTheme="minorHAnsi" w:eastAsiaTheme="minorEastAsia" w:hAnsiTheme="minorHAnsi"/>
          <w:sz w:val="22"/>
        </w:rPr>
      </w:pPr>
      <w:r>
        <w:rPr>
          <w:rFonts w:asciiTheme="minorHAnsi" w:eastAsiaTheme="minorEastAsia" w:hAnsiTheme="minorHAnsi"/>
          <w:sz w:val="22"/>
        </w:rPr>
        <w:t xml:space="preserve">On October </w:t>
      </w:r>
      <w:r w:rsidR="0090799C">
        <w:rPr>
          <w:rFonts w:asciiTheme="minorHAnsi" w:eastAsiaTheme="minorEastAsia" w:hAnsiTheme="minorHAnsi"/>
          <w:sz w:val="22"/>
        </w:rPr>
        <w:t>10, 2023, the U.S. Supreme Court declined to review the Eight Circuit decision.</w:t>
      </w:r>
    </w:p>
    <w:p w14:paraId="449817EA" w14:textId="7E284C8A" w:rsidR="00830DD0" w:rsidRPr="00E374D9" w:rsidRDefault="00CB6726" w:rsidP="007A18CD">
      <w:pPr>
        <w:pStyle w:val="ListParagraph"/>
        <w:numPr>
          <w:ilvl w:val="0"/>
          <w:numId w:val="3"/>
        </w:numPr>
        <w:spacing w:before="120" w:after="0"/>
        <w:rPr>
          <w:rFonts w:asciiTheme="minorHAnsi" w:eastAsiaTheme="minorEastAsia" w:hAnsiTheme="minorHAnsi"/>
          <w:sz w:val="22"/>
        </w:rPr>
      </w:pPr>
      <w:r>
        <w:rPr>
          <w:rFonts w:asciiTheme="minorHAnsi" w:eastAsiaTheme="minorEastAsia" w:hAnsiTheme="minorHAnsi"/>
          <w:sz w:val="22"/>
        </w:rPr>
        <w:t xml:space="preserve">On </w:t>
      </w:r>
      <w:r w:rsidR="00A3717C">
        <w:rPr>
          <w:rFonts w:asciiTheme="minorHAnsi" w:eastAsiaTheme="minorEastAsia" w:hAnsiTheme="minorHAnsi"/>
          <w:sz w:val="22"/>
        </w:rPr>
        <w:t>March 8, 2024</w:t>
      </w:r>
      <w:r>
        <w:rPr>
          <w:rFonts w:asciiTheme="minorHAnsi" w:eastAsiaTheme="minorEastAsia" w:hAnsiTheme="minorHAnsi"/>
          <w:sz w:val="22"/>
        </w:rPr>
        <w:t xml:space="preserve">, </w:t>
      </w:r>
      <w:r w:rsidR="005968B8">
        <w:rPr>
          <w:rFonts w:asciiTheme="minorHAnsi" w:eastAsiaTheme="minorEastAsia" w:hAnsiTheme="minorHAnsi"/>
          <w:sz w:val="22"/>
        </w:rPr>
        <w:t xml:space="preserve">EPA </w:t>
      </w:r>
      <w:r w:rsidR="00A3717C">
        <w:rPr>
          <w:rFonts w:asciiTheme="minorHAnsi" w:eastAsiaTheme="minorEastAsia" w:hAnsiTheme="minorHAnsi"/>
          <w:sz w:val="22"/>
        </w:rPr>
        <w:t>published</w:t>
      </w:r>
      <w:r w:rsidR="005968B8">
        <w:rPr>
          <w:rFonts w:asciiTheme="minorHAnsi" w:eastAsiaTheme="minorEastAsia" w:hAnsiTheme="minorHAnsi"/>
          <w:sz w:val="22"/>
        </w:rPr>
        <w:t xml:space="preserve"> the final </w:t>
      </w:r>
      <w:r>
        <w:rPr>
          <w:rFonts w:asciiTheme="minorHAnsi" w:eastAsiaTheme="minorEastAsia" w:hAnsiTheme="minorHAnsi"/>
          <w:sz w:val="22"/>
        </w:rPr>
        <w:t xml:space="preserve">methane rules </w:t>
      </w:r>
      <w:r w:rsidR="009129A9">
        <w:rPr>
          <w:rFonts w:asciiTheme="minorHAnsi" w:eastAsiaTheme="minorEastAsia" w:hAnsiTheme="minorHAnsi"/>
          <w:sz w:val="22"/>
        </w:rPr>
        <w:t>for the oil and gas sector</w:t>
      </w:r>
      <w:r>
        <w:rPr>
          <w:rFonts w:asciiTheme="minorHAnsi" w:eastAsiaTheme="minorEastAsia" w:hAnsiTheme="minorHAnsi"/>
          <w:sz w:val="22"/>
        </w:rPr>
        <w:t xml:space="preserve">. </w:t>
      </w:r>
      <w:r w:rsidR="00B42B37">
        <w:rPr>
          <w:rFonts w:asciiTheme="minorHAnsi" w:eastAsiaTheme="minorEastAsia" w:hAnsiTheme="minorHAnsi"/>
          <w:sz w:val="22"/>
        </w:rPr>
        <w:t xml:space="preserve">EPA </w:t>
      </w:r>
      <w:r w:rsidR="00192DE1">
        <w:rPr>
          <w:rFonts w:asciiTheme="minorHAnsi" w:eastAsiaTheme="minorEastAsia" w:hAnsiTheme="minorHAnsi"/>
          <w:sz w:val="22"/>
        </w:rPr>
        <w:t xml:space="preserve">also </w:t>
      </w:r>
      <w:r w:rsidR="00B42B37">
        <w:rPr>
          <w:rFonts w:asciiTheme="minorHAnsi" w:eastAsiaTheme="minorEastAsia" w:hAnsiTheme="minorHAnsi"/>
          <w:sz w:val="22"/>
        </w:rPr>
        <w:t xml:space="preserve">released a final version of the SC-GHG </w:t>
      </w:r>
      <w:r w:rsidR="00F57620">
        <w:rPr>
          <w:rFonts w:asciiTheme="minorHAnsi" w:eastAsiaTheme="minorEastAsia" w:hAnsiTheme="minorHAnsi"/>
          <w:sz w:val="22"/>
        </w:rPr>
        <w:t>report</w:t>
      </w:r>
      <w:r w:rsidR="004D2050">
        <w:rPr>
          <w:rFonts w:asciiTheme="minorHAnsi" w:eastAsiaTheme="minorEastAsia" w:hAnsiTheme="minorHAnsi"/>
          <w:sz w:val="22"/>
        </w:rPr>
        <w:t xml:space="preserve">, continuing to suggest </w:t>
      </w:r>
      <w:r w:rsidR="00673BF5">
        <w:rPr>
          <w:rFonts w:asciiTheme="minorHAnsi" w:eastAsiaTheme="minorEastAsia" w:hAnsiTheme="minorHAnsi"/>
          <w:sz w:val="22"/>
        </w:rPr>
        <w:t xml:space="preserve">the use of </w:t>
      </w:r>
      <w:r w:rsidR="004D2050">
        <w:rPr>
          <w:rFonts w:asciiTheme="minorHAnsi" w:eastAsiaTheme="minorEastAsia" w:hAnsiTheme="minorHAnsi"/>
          <w:sz w:val="22"/>
        </w:rPr>
        <w:t xml:space="preserve">much higher values </w:t>
      </w:r>
      <w:r w:rsidR="00673BF5">
        <w:rPr>
          <w:rFonts w:asciiTheme="minorHAnsi" w:eastAsiaTheme="minorEastAsia" w:hAnsiTheme="minorHAnsi"/>
          <w:sz w:val="22"/>
        </w:rPr>
        <w:t>than the interim SC-GHGs</w:t>
      </w:r>
      <w:r w:rsidR="00F57620">
        <w:rPr>
          <w:rFonts w:asciiTheme="minorHAnsi" w:eastAsiaTheme="minorEastAsia" w:hAnsiTheme="minorHAnsi"/>
          <w:sz w:val="22"/>
        </w:rPr>
        <w:t xml:space="preserve">. </w:t>
      </w:r>
      <w:r w:rsidR="00192DE1">
        <w:rPr>
          <w:rFonts w:asciiTheme="minorHAnsi" w:eastAsiaTheme="minorEastAsia" w:hAnsiTheme="minorHAnsi"/>
          <w:sz w:val="22"/>
        </w:rPr>
        <w:t>T</w:t>
      </w:r>
      <w:r w:rsidR="000F4685">
        <w:rPr>
          <w:rFonts w:asciiTheme="minorHAnsi" w:eastAsiaTheme="minorEastAsia" w:hAnsiTheme="minorHAnsi"/>
          <w:sz w:val="22"/>
        </w:rPr>
        <w:t xml:space="preserve">he Interagency Working Group on Social Cost of Greenhouse Gases </w:t>
      </w:r>
      <w:r w:rsidR="00192DE1">
        <w:rPr>
          <w:rFonts w:asciiTheme="minorHAnsi" w:eastAsiaTheme="minorEastAsia" w:hAnsiTheme="minorHAnsi"/>
          <w:sz w:val="22"/>
        </w:rPr>
        <w:t xml:space="preserve">has </w:t>
      </w:r>
      <w:r w:rsidR="000F4685">
        <w:rPr>
          <w:rFonts w:asciiTheme="minorHAnsi" w:eastAsiaTheme="minorEastAsia" w:hAnsiTheme="minorHAnsi"/>
          <w:sz w:val="22"/>
        </w:rPr>
        <w:t xml:space="preserve">posted a memo advising agencies </w:t>
      </w:r>
      <w:r w:rsidR="00EE01C5">
        <w:rPr>
          <w:rFonts w:asciiTheme="minorHAnsi" w:eastAsiaTheme="minorEastAsia" w:hAnsiTheme="minorHAnsi"/>
          <w:sz w:val="22"/>
        </w:rPr>
        <w:t xml:space="preserve">moving forward </w:t>
      </w:r>
      <w:r w:rsidR="000F4685">
        <w:rPr>
          <w:rFonts w:asciiTheme="minorHAnsi" w:eastAsiaTheme="minorEastAsia" w:hAnsiTheme="minorHAnsi"/>
          <w:sz w:val="22"/>
        </w:rPr>
        <w:t xml:space="preserve">to </w:t>
      </w:r>
      <w:r w:rsidR="007D5883">
        <w:rPr>
          <w:rFonts w:asciiTheme="minorHAnsi" w:eastAsiaTheme="minorEastAsia" w:hAnsiTheme="minorHAnsi"/>
          <w:sz w:val="22"/>
        </w:rPr>
        <w:t>“</w:t>
      </w:r>
      <w:r w:rsidR="007D5883" w:rsidRPr="007D5883">
        <w:rPr>
          <w:rFonts w:asciiTheme="minorHAnsi" w:eastAsiaTheme="minorEastAsia" w:hAnsiTheme="minorHAnsi"/>
          <w:sz w:val="22"/>
        </w:rPr>
        <w:t xml:space="preserve">use their professional judgment to determine which estimates of the SC-GHG reflect the best </w:t>
      </w:r>
      <w:r w:rsidR="007D5883" w:rsidRPr="00E374D9">
        <w:rPr>
          <w:rFonts w:asciiTheme="minorHAnsi" w:eastAsiaTheme="minorEastAsia" w:hAnsiTheme="minorHAnsi"/>
          <w:sz w:val="22"/>
        </w:rPr>
        <w:t>available evidence, are most appropriate for particular analytical contexts, and best facilitate sound decision-making.”</w:t>
      </w:r>
      <w:r w:rsidR="00E374D9">
        <w:rPr>
          <w:rFonts w:asciiTheme="minorHAnsi" w:eastAsiaTheme="minorEastAsia" w:hAnsiTheme="minorHAnsi"/>
          <w:sz w:val="22"/>
        </w:rPr>
        <w:t xml:space="preserve"> </w:t>
      </w:r>
    </w:p>
    <w:p w14:paraId="7A865F09" w14:textId="7E7D8491" w:rsidR="00CA448C" w:rsidRPr="00B36AEC" w:rsidRDefault="00CA448C" w:rsidP="00CA448C">
      <w:pPr>
        <w:keepNext/>
        <w:autoSpaceDE w:val="0"/>
        <w:autoSpaceDN w:val="0"/>
        <w:adjustRightInd w:val="0"/>
        <w:spacing w:before="120" w:after="0" w:line="240" w:lineRule="auto"/>
        <w:rPr>
          <w:b/>
          <w:bCs/>
        </w:rPr>
      </w:pPr>
      <w:r w:rsidRPr="00B36AEC">
        <w:rPr>
          <w:rFonts w:asciiTheme="majorHAnsi" w:eastAsiaTheme="majorEastAsia" w:hAnsiTheme="majorHAnsi" w:cstheme="majorBidi"/>
          <w:b/>
          <w:bCs/>
          <w:color w:val="2F5496" w:themeColor="accent1" w:themeShade="BF"/>
          <w:sz w:val="24"/>
          <w:szCs w:val="24"/>
        </w:rPr>
        <w:t>GHG Emissions Performance Standards</w:t>
      </w:r>
    </w:p>
    <w:p w14:paraId="0FF8D176" w14:textId="1678F23B" w:rsidR="00CA448C" w:rsidRDefault="00CA448C" w:rsidP="00CA448C">
      <w:pPr>
        <w:spacing w:before="120" w:after="0" w:line="240" w:lineRule="auto"/>
      </w:pPr>
      <w:r>
        <w:t xml:space="preserve">In October 2015, the </w:t>
      </w:r>
      <w:r w:rsidR="009A4F5E">
        <w:t xml:space="preserve">EPA finalized </w:t>
      </w:r>
      <w:r w:rsidR="0031035B">
        <w:t>S</w:t>
      </w:r>
      <w:r>
        <w:t>ection 111</w:t>
      </w:r>
      <w:r w:rsidR="00FC452D">
        <w:t xml:space="preserve"> </w:t>
      </w:r>
      <w:r w:rsidR="00727217">
        <w:t>GHG</w:t>
      </w:r>
      <w:r w:rsidR="00FC452D">
        <w:t xml:space="preserve"> regulations for </w:t>
      </w:r>
      <w:r w:rsidR="002F580C">
        <w:t xml:space="preserve">new and existing sources </w:t>
      </w:r>
      <w:r>
        <w:t xml:space="preserve">in the </w:t>
      </w:r>
      <w:r w:rsidR="00FF6C77">
        <w:t>power sector</w:t>
      </w:r>
      <w:r w:rsidR="00FC452D">
        <w:t>.</w:t>
      </w:r>
      <w:r>
        <w:t xml:space="preserve"> In the final new source rule, EPA established separate standards for coal (1,400 </w:t>
      </w:r>
      <w:r w:rsidR="00503C42">
        <w:t>pounds</w:t>
      </w:r>
      <w:r>
        <w:t xml:space="preserve"> of CO</w:t>
      </w:r>
      <w:r w:rsidRPr="3ED55E19">
        <w:rPr>
          <w:vertAlign w:val="subscript"/>
        </w:rPr>
        <w:t>2</w:t>
      </w:r>
      <w:r w:rsidR="00503C42">
        <w:t xml:space="preserve"> per megawatt-hour</w:t>
      </w:r>
      <w:r>
        <w:t xml:space="preserve">) and base load natural gas (1,000 </w:t>
      </w:r>
      <w:r w:rsidR="00503C42">
        <w:t>pounds of CO</w:t>
      </w:r>
      <w:r w:rsidR="00503C42" w:rsidRPr="3ED55E19">
        <w:rPr>
          <w:vertAlign w:val="subscript"/>
        </w:rPr>
        <w:t>2</w:t>
      </w:r>
      <w:r w:rsidR="00503C42">
        <w:t xml:space="preserve"> per megawatt-hour</w:t>
      </w:r>
      <w:r>
        <w:t xml:space="preserve">) units.  EPA’s standard for new coal units requires the implementation of partial carbon capture and sequestration.  </w:t>
      </w:r>
      <w:r w:rsidR="006C7D25">
        <w:t xml:space="preserve">The final existing source rule, </w:t>
      </w:r>
      <w:r>
        <w:t xml:space="preserve">known as the Clean Power Plan </w:t>
      </w:r>
      <w:r w:rsidR="008852DA">
        <w:t>(CPP)</w:t>
      </w:r>
      <w:r w:rsidR="00BC4989">
        <w:t xml:space="preserve">, </w:t>
      </w:r>
      <w:r w:rsidR="00EA5EFF">
        <w:t xml:space="preserve">contained regulatory guidelines for </w:t>
      </w:r>
      <w:r w:rsidR="00727217">
        <w:t xml:space="preserve">GHG </w:t>
      </w:r>
      <w:r w:rsidR="00EA5EFF">
        <w:t xml:space="preserve">emissions </w:t>
      </w:r>
      <w:r w:rsidR="006D7894">
        <w:t>to be used by</w:t>
      </w:r>
      <w:r w:rsidRPr="0008493F">
        <w:t xml:space="preserve"> states to develop a state-specific compliance plan. Numerous parties filed petitions for review and accompanying motions to stay the CPP, including Georgia Power. On February 9, 2016, the U.S. Supreme Court granted a stay of the CPP </w:t>
      </w:r>
      <w:r w:rsidR="0015182D">
        <w:t>during</w:t>
      </w:r>
      <w:r w:rsidRPr="0008493F">
        <w:t xml:space="preserve"> the legal challenge proceed</w:t>
      </w:r>
      <w:r w:rsidR="0015182D">
        <w:t>ing</w:t>
      </w:r>
      <w:r w:rsidRPr="0008493F">
        <w:t xml:space="preserve">s. </w:t>
      </w:r>
    </w:p>
    <w:p w14:paraId="777D1510" w14:textId="6B1152DF" w:rsidR="00D90597" w:rsidRPr="00262D4C" w:rsidRDefault="00CA448C" w:rsidP="00797AC5">
      <w:pPr>
        <w:spacing w:before="120" w:after="0" w:line="240" w:lineRule="auto"/>
      </w:pPr>
      <w:r>
        <w:t xml:space="preserve">On July 8, 2019, the EPA repealed the CPP and replaced it with the Affordable Clean Energy (ACE) Rule, establishing revised guidelines for </w:t>
      </w:r>
      <w:r w:rsidR="00C12587">
        <w:t>development of state-specific</w:t>
      </w:r>
      <w:r>
        <w:t xml:space="preserve"> plans to address GHG emissions from existing coal-fired power plants. On January 19, 2021, the D.C. Circuit Court vacated and remanded the ACE Rule back to the EPA. </w:t>
      </w:r>
      <w:r w:rsidR="00D90597" w:rsidRPr="00262D4C">
        <w:t xml:space="preserve">On June 30, 2022, the U.S. Supreme Court reversed the D.C. Circuit’s vacatur of the ACE Rule and issued an opinion limiting the EPA’s authority to regulate GHG emissions under the CAA. </w:t>
      </w:r>
    </w:p>
    <w:p w14:paraId="23D72EF4" w14:textId="7B5F30D9" w:rsidR="00CA448C" w:rsidRDefault="00CA448C" w:rsidP="00CA448C">
      <w:pPr>
        <w:spacing w:before="120" w:after="0" w:line="240" w:lineRule="auto"/>
        <w:rPr>
          <w:b/>
          <w:bCs/>
        </w:rPr>
      </w:pPr>
      <w:r>
        <w:rPr>
          <w:b/>
          <w:bCs/>
        </w:rPr>
        <w:t>New</w:t>
      </w:r>
      <w:r w:rsidRPr="00B11D55">
        <w:rPr>
          <w:b/>
          <w:bCs/>
        </w:rPr>
        <w:t xml:space="preserve"> Regulatory Updates</w:t>
      </w:r>
    </w:p>
    <w:p w14:paraId="427B6317" w14:textId="42AAD00D" w:rsidR="00395CC2" w:rsidRPr="00932D6A" w:rsidRDefault="00A05333" w:rsidP="008B5328">
      <w:pPr>
        <w:pStyle w:val="ListParagraph"/>
        <w:numPr>
          <w:ilvl w:val="0"/>
          <w:numId w:val="7"/>
        </w:numPr>
        <w:spacing w:after="0"/>
        <w:rPr>
          <w:rFonts w:asciiTheme="minorHAnsi" w:eastAsiaTheme="minorEastAsia" w:hAnsiTheme="minorHAnsi"/>
          <w:sz w:val="22"/>
        </w:rPr>
      </w:pPr>
      <w:r>
        <w:rPr>
          <w:rFonts w:asciiTheme="minorHAnsi" w:eastAsiaTheme="minorEastAsia" w:hAnsiTheme="minorHAnsi"/>
          <w:sz w:val="22"/>
        </w:rPr>
        <w:t>On May 23, 2023, t</w:t>
      </w:r>
      <w:r w:rsidR="00F47D96" w:rsidRPr="00F47D96">
        <w:rPr>
          <w:rFonts w:asciiTheme="minorHAnsi" w:eastAsiaTheme="minorEastAsia" w:hAnsiTheme="minorHAnsi"/>
          <w:sz w:val="22"/>
        </w:rPr>
        <w:t xml:space="preserve">he EPA </w:t>
      </w:r>
      <w:r w:rsidR="001E3327">
        <w:rPr>
          <w:rFonts w:asciiTheme="minorHAnsi" w:eastAsiaTheme="minorEastAsia" w:hAnsiTheme="minorHAnsi"/>
          <w:sz w:val="22"/>
        </w:rPr>
        <w:t xml:space="preserve">proposed new </w:t>
      </w:r>
      <w:r w:rsidR="00F54004">
        <w:rPr>
          <w:rFonts w:asciiTheme="minorHAnsi" w:eastAsiaTheme="minorEastAsia" w:hAnsiTheme="minorHAnsi"/>
          <w:sz w:val="22"/>
        </w:rPr>
        <w:t xml:space="preserve">Section 111 </w:t>
      </w:r>
      <w:r w:rsidR="00727217" w:rsidRPr="00727217">
        <w:rPr>
          <w:rFonts w:asciiTheme="minorHAnsi" w:eastAsiaTheme="minorEastAsia" w:hAnsiTheme="minorHAnsi"/>
          <w:sz w:val="22"/>
        </w:rPr>
        <w:t xml:space="preserve">GHG </w:t>
      </w:r>
      <w:r w:rsidR="00F54004">
        <w:rPr>
          <w:rFonts w:asciiTheme="minorHAnsi" w:eastAsiaTheme="minorEastAsia" w:hAnsiTheme="minorHAnsi"/>
          <w:sz w:val="22"/>
        </w:rPr>
        <w:t xml:space="preserve">regulations </w:t>
      </w:r>
      <w:r w:rsidR="00F54004" w:rsidRPr="00F54004">
        <w:rPr>
          <w:rFonts w:asciiTheme="minorHAnsi" w:eastAsiaTheme="minorEastAsia" w:hAnsiTheme="minorHAnsi"/>
          <w:sz w:val="22"/>
        </w:rPr>
        <w:t>for new and existing sources in the power sector</w:t>
      </w:r>
      <w:r w:rsidR="00F47D96" w:rsidRPr="00F47D96">
        <w:rPr>
          <w:rFonts w:asciiTheme="minorHAnsi" w:eastAsiaTheme="minorEastAsia" w:hAnsiTheme="minorHAnsi"/>
          <w:sz w:val="22"/>
        </w:rPr>
        <w:t>.</w:t>
      </w:r>
      <w:r w:rsidR="00932D6A">
        <w:rPr>
          <w:rFonts w:asciiTheme="minorHAnsi" w:eastAsiaTheme="minorEastAsia" w:hAnsiTheme="minorHAnsi"/>
          <w:sz w:val="22"/>
        </w:rPr>
        <w:t xml:space="preserve"> </w:t>
      </w:r>
      <w:r w:rsidR="00AB1E71">
        <w:rPr>
          <w:rFonts w:asciiTheme="minorHAnsi" w:eastAsiaTheme="minorEastAsia" w:hAnsiTheme="minorHAnsi"/>
          <w:sz w:val="22"/>
        </w:rPr>
        <w:t xml:space="preserve">For new </w:t>
      </w:r>
      <w:r w:rsidR="00D2791A">
        <w:rPr>
          <w:rFonts w:asciiTheme="minorHAnsi" w:eastAsiaTheme="minorEastAsia" w:hAnsiTheme="minorHAnsi"/>
          <w:sz w:val="22"/>
        </w:rPr>
        <w:t xml:space="preserve">combustion turbines and combined cycle units, </w:t>
      </w:r>
      <w:r w:rsidR="00586679">
        <w:rPr>
          <w:rFonts w:asciiTheme="minorHAnsi" w:eastAsiaTheme="minorEastAsia" w:hAnsiTheme="minorHAnsi"/>
          <w:sz w:val="22"/>
        </w:rPr>
        <w:t>l</w:t>
      </w:r>
      <w:r w:rsidR="00D2791A">
        <w:rPr>
          <w:rFonts w:asciiTheme="minorHAnsi" w:eastAsiaTheme="minorEastAsia" w:hAnsiTheme="minorHAnsi"/>
          <w:sz w:val="22"/>
        </w:rPr>
        <w:t xml:space="preserve">ow load units that operate less than </w:t>
      </w:r>
      <w:r w:rsidR="00733D31">
        <w:rPr>
          <w:rFonts w:asciiTheme="minorHAnsi" w:eastAsiaTheme="minorEastAsia" w:hAnsiTheme="minorHAnsi"/>
          <w:sz w:val="22"/>
        </w:rPr>
        <w:t xml:space="preserve">20% capacity factor comply by firing natural gas or fuel oil, </w:t>
      </w:r>
      <w:r w:rsidR="001870EC">
        <w:rPr>
          <w:rFonts w:asciiTheme="minorHAnsi" w:eastAsiaTheme="minorEastAsia" w:hAnsiTheme="minorHAnsi"/>
          <w:sz w:val="22"/>
        </w:rPr>
        <w:t>but intermediate load units that operate</w:t>
      </w:r>
      <w:r w:rsidR="001438B1">
        <w:rPr>
          <w:rFonts w:asciiTheme="minorHAnsi" w:eastAsiaTheme="minorEastAsia" w:hAnsiTheme="minorHAnsi"/>
          <w:sz w:val="22"/>
        </w:rPr>
        <w:t xml:space="preserve"> at a capacity factor</w:t>
      </w:r>
      <w:r w:rsidR="001870EC">
        <w:rPr>
          <w:rFonts w:asciiTheme="minorHAnsi" w:eastAsiaTheme="minorEastAsia" w:hAnsiTheme="minorHAnsi"/>
          <w:sz w:val="22"/>
        </w:rPr>
        <w:t xml:space="preserve"> between 20%</w:t>
      </w:r>
      <w:r w:rsidR="001438B1">
        <w:rPr>
          <w:rFonts w:asciiTheme="minorHAnsi" w:eastAsiaTheme="minorEastAsia" w:hAnsiTheme="minorHAnsi"/>
          <w:sz w:val="22"/>
        </w:rPr>
        <w:t xml:space="preserve"> and design efficiency</w:t>
      </w:r>
      <w:r w:rsidR="00B53A46">
        <w:rPr>
          <w:rFonts w:asciiTheme="minorHAnsi" w:eastAsiaTheme="minorEastAsia" w:hAnsiTheme="minorHAnsi"/>
          <w:sz w:val="22"/>
        </w:rPr>
        <w:t xml:space="preserve"> </w:t>
      </w:r>
      <w:r w:rsidR="00D00917">
        <w:rPr>
          <w:rFonts w:asciiTheme="minorHAnsi" w:eastAsiaTheme="minorEastAsia" w:hAnsiTheme="minorHAnsi"/>
          <w:sz w:val="22"/>
        </w:rPr>
        <w:t xml:space="preserve">must meet an emission standard </w:t>
      </w:r>
      <w:r w:rsidR="0057105C">
        <w:rPr>
          <w:rFonts w:asciiTheme="minorHAnsi" w:eastAsiaTheme="minorEastAsia" w:hAnsiTheme="minorHAnsi"/>
          <w:sz w:val="22"/>
        </w:rPr>
        <w:t>(1,150 lb</w:t>
      </w:r>
      <w:r w:rsidR="00194533">
        <w:rPr>
          <w:rFonts w:asciiTheme="minorHAnsi" w:eastAsiaTheme="minorEastAsia" w:hAnsiTheme="minorHAnsi"/>
          <w:sz w:val="22"/>
        </w:rPr>
        <w:t xml:space="preserve"> CO2</w:t>
      </w:r>
      <w:r w:rsidR="0057105C">
        <w:rPr>
          <w:rFonts w:asciiTheme="minorHAnsi" w:eastAsiaTheme="minorEastAsia" w:hAnsiTheme="minorHAnsi"/>
          <w:sz w:val="22"/>
        </w:rPr>
        <w:t xml:space="preserve">/MWh </w:t>
      </w:r>
      <w:r w:rsidR="00194533">
        <w:rPr>
          <w:rFonts w:asciiTheme="minorHAnsi" w:eastAsiaTheme="minorEastAsia" w:hAnsiTheme="minorHAnsi"/>
          <w:sz w:val="22"/>
        </w:rPr>
        <w:t xml:space="preserve">gross) </w:t>
      </w:r>
      <w:r w:rsidR="00D00917">
        <w:rPr>
          <w:rFonts w:asciiTheme="minorHAnsi" w:eastAsiaTheme="minorEastAsia" w:hAnsiTheme="minorHAnsi"/>
          <w:sz w:val="22"/>
        </w:rPr>
        <w:t>that EPA deems equivalent to highly efficient simple cycle operation</w:t>
      </w:r>
      <w:r w:rsidR="001F670F">
        <w:rPr>
          <w:rFonts w:asciiTheme="minorHAnsi" w:eastAsiaTheme="minorEastAsia" w:hAnsiTheme="minorHAnsi"/>
          <w:sz w:val="22"/>
        </w:rPr>
        <w:t xml:space="preserve"> through 2031 and then a lower standard </w:t>
      </w:r>
      <w:r w:rsidR="00194533">
        <w:rPr>
          <w:rFonts w:asciiTheme="minorHAnsi" w:eastAsiaTheme="minorEastAsia" w:hAnsiTheme="minorHAnsi"/>
          <w:sz w:val="22"/>
        </w:rPr>
        <w:t xml:space="preserve">(1,000 lb CO2/MWh gross) </w:t>
      </w:r>
      <w:r w:rsidR="001F670F">
        <w:rPr>
          <w:rFonts w:asciiTheme="minorHAnsi" w:eastAsiaTheme="minorEastAsia" w:hAnsiTheme="minorHAnsi"/>
          <w:sz w:val="22"/>
        </w:rPr>
        <w:t xml:space="preserve">that reflects 30% low-GHG hydrogen cofiring starting in 2032. </w:t>
      </w:r>
      <w:r w:rsidR="00935142">
        <w:rPr>
          <w:rFonts w:asciiTheme="minorHAnsi" w:eastAsiaTheme="minorEastAsia" w:hAnsiTheme="minorHAnsi"/>
          <w:sz w:val="22"/>
        </w:rPr>
        <w:t>Units that operate at capacity factors greater than their design efficiencies are deemed base</w:t>
      </w:r>
      <w:r w:rsidR="00613051">
        <w:rPr>
          <w:rFonts w:asciiTheme="minorHAnsi" w:eastAsiaTheme="minorEastAsia" w:hAnsiTheme="minorHAnsi"/>
          <w:sz w:val="22"/>
        </w:rPr>
        <w:t xml:space="preserve"> </w:t>
      </w:r>
      <w:r w:rsidR="00935142">
        <w:rPr>
          <w:rFonts w:asciiTheme="minorHAnsi" w:eastAsiaTheme="minorEastAsia" w:hAnsiTheme="minorHAnsi"/>
          <w:sz w:val="22"/>
        </w:rPr>
        <w:t>load units</w:t>
      </w:r>
      <w:r w:rsidR="00613051">
        <w:rPr>
          <w:rFonts w:asciiTheme="minorHAnsi" w:eastAsiaTheme="minorEastAsia" w:hAnsiTheme="minorHAnsi"/>
          <w:sz w:val="22"/>
        </w:rPr>
        <w:t xml:space="preserve"> and </w:t>
      </w:r>
      <w:r w:rsidR="00714B17">
        <w:rPr>
          <w:rFonts w:asciiTheme="minorHAnsi" w:eastAsiaTheme="minorEastAsia" w:hAnsiTheme="minorHAnsi"/>
          <w:sz w:val="22"/>
        </w:rPr>
        <w:t xml:space="preserve">must initially meet limits that reflect highly efficient combined-cycle operation and later install additional controls. </w:t>
      </w:r>
      <w:r w:rsidR="002B421E">
        <w:rPr>
          <w:rFonts w:asciiTheme="minorHAnsi" w:eastAsiaTheme="minorEastAsia" w:hAnsiTheme="minorHAnsi"/>
          <w:sz w:val="22"/>
        </w:rPr>
        <w:t xml:space="preserve">The first </w:t>
      </w:r>
      <w:r w:rsidR="00714B17">
        <w:rPr>
          <w:rFonts w:asciiTheme="minorHAnsi" w:eastAsiaTheme="minorEastAsia" w:hAnsiTheme="minorHAnsi"/>
          <w:sz w:val="22"/>
        </w:rPr>
        <w:t xml:space="preserve">base load </w:t>
      </w:r>
      <w:r w:rsidR="002B421E">
        <w:rPr>
          <w:rFonts w:asciiTheme="minorHAnsi" w:eastAsiaTheme="minorEastAsia" w:hAnsiTheme="minorHAnsi"/>
          <w:sz w:val="22"/>
        </w:rPr>
        <w:t xml:space="preserve">pathway involves </w:t>
      </w:r>
      <w:r w:rsidR="00261A84">
        <w:rPr>
          <w:rFonts w:asciiTheme="minorHAnsi" w:eastAsiaTheme="minorEastAsia" w:hAnsiTheme="minorHAnsi"/>
          <w:sz w:val="22"/>
        </w:rPr>
        <w:t>meet</w:t>
      </w:r>
      <w:r w:rsidR="002B421E">
        <w:rPr>
          <w:rFonts w:asciiTheme="minorHAnsi" w:eastAsiaTheme="minorEastAsia" w:hAnsiTheme="minorHAnsi"/>
          <w:sz w:val="22"/>
        </w:rPr>
        <w:t>ing</w:t>
      </w:r>
      <w:r w:rsidR="00261A84">
        <w:rPr>
          <w:rFonts w:asciiTheme="minorHAnsi" w:eastAsiaTheme="minorEastAsia" w:hAnsiTheme="minorHAnsi"/>
          <w:sz w:val="22"/>
        </w:rPr>
        <w:t xml:space="preserve"> emission standards that reflect </w:t>
      </w:r>
      <w:r w:rsidR="00613051">
        <w:rPr>
          <w:rFonts w:asciiTheme="minorHAnsi" w:eastAsiaTheme="minorEastAsia" w:hAnsiTheme="minorHAnsi"/>
          <w:sz w:val="22"/>
        </w:rPr>
        <w:t>co-fir</w:t>
      </w:r>
      <w:r w:rsidR="002B421E">
        <w:rPr>
          <w:rFonts w:asciiTheme="minorHAnsi" w:eastAsiaTheme="minorEastAsia" w:hAnsiTheme="minorHAnsi"/>
          <w:sz w:val="22"/>
        </w:rPr>
        <w:t>ing</w:t>
      </w:r>
      <w:r w:rsidR="00613051">
        <w:rPr>
          <w:rFonts w:asciiTheme="minorHAnsi" w:eastAsiaTheme="minorEastAsia" w:hAnsiTheme="minorHAnsi"/>
          <w:sz w:val="22"/>
        </w:rPr>
        <w:t xml:space="preserve"> 30% low-GHG hydrogen</w:t>
      </w:r>
      <w:r w:rsidR="002B421E">
        <w:rPr>
          <w:rFonts w:asciiTheme="minorHAnsi" w:eastAsiaTheme="minorEastAsia" w:hAnsiTheme="minorHAnsi"/>
          <w:sz w:val="22"/>
        </w:rPr>
        <w:t xml:space="preserve"> by 2032</w:t>
      </w:r>
      <w:r w:rsidR="00D719E9">
        <w:rPr>
          <w:rFonts w:asciiTheme="minorHAnsi" w:eastAsiaTheme="minorEastAsia" w:hAnsiTheme="minorHAnsi"/>
          <w:sz w:val="22"/>
        </w:rPr>
        <w:t xml:space="preserve"> (680 lb CO2/MWh gross) </w:t>
      </w:r>
      <w:r w:rsidR="002B421E">
        <w:rPr>
          <w:rFonts w:asciiTheme="minorHAnsi" w:eastAsiaTheme="minorEastAsia" w:hAnsiTheme="minorHAnsi"/>
          <w:sz w:val="22"/>
        </w:rPr>
        <w:t>and 96% low-GHG hydrogen by 2038</w:t>
      </w:r>
      <w:r w:rsidR="00D719E9">
        <w:rPr>
          <w:rFonts w:asciiTheme="minorHAnsi" w:eastAsiaTheme="minorEastAsia" w:hAnsiTheme="minorHAnsi"/>
          <w:sz w:val="22"/>
        </w:rPr>
        <w:t xml:space="preserve"> (90 lb CO2/MWh gross)</w:t>
      </w:r>
      <w:r w:rsidR="002B421E">
        <w:rPr>
          <w:rFonts w:asciiTheme="minorHAnsi" w:eastAsiaTheme="minorEastAsia" w:hAnsiTheme="minorHAnsi"/>
          <w:sz w:val="22"/>
        </w:rPr>
        <w:t>.</w:t>
      </w:r>
      <w:r w:rsidR="00C8215E">
        <w:rPr>
          <w:rFonts w:asciiTheme="minorHAnsi" w:eastAsiaTheme="minorEastAsia" w:hAnsiTheme="minorHAnsi"/>
          <w:sz w:val="22"/>
        </w:rPr>
        <w:t xml:space="preserve"> The second pathway involves emission standards that reflect carbon capture and sequestration to achieve 90 lb CO2/MWh gross by 2035.</w:t>
      </w:r>
      <w:r w:rsidR="00613051">
        <w:rPr>
          <w:rFonts w:asciiTheme="minorHAnsi" w:eastAsiaTheme="minorEastAsia" w:hAnsiTheme="minorHAnsi"/>
          <w:sz w:val="22"/>
        </w:rPr>
        <w:t xml:space="preserve"> </w:t>
      </w:r>
      <w:r w:rsidR="00E91B0D">
        <w:rPr>
          <w:rFonts w:asciiTheme="minorHAnsi" w:eastAsiaTheme="minorEastAsia" w:hAnsiTheme="minorHAnsi"/>
          <w:sz w:val="22"/>
        </w:rPr>
        <w:t>For existing</w:t>
      </w:r>
      <w:r w:rsidR="00565335">
        <w:rPr>
          <w:rFonts w:asciiTheme="minorHAnsi" w:eastAsiaTheme="minorEastAsia" w:hAnsiTheme="minorHAnsi"/>
          <w:sz w:val="22"/>
        </w:rPr>
        <w:t xml:space="preserve"> units, </w:t>
      </w:r>
      <w:r w:rsidR="004920D8">
        <w:rPr>
          <w:rFonts w:asciiTheme="minorHAnsi" w:eastAsiaTheme="minorEastAsia" w:hAnsiTheme="minorHAnsi"/>
          <w:sz w:val="22"/>
        </w:rPr>
        <w:t xml:space="preserve">EPA’s proposed guidelines suggest </w:t>
      </w:r>
      <w:r w:rsidR="007D294D">
        <w:rPr>
          <w:rFonts w:asciiTheme="minorHAnsi" w:eastAsiaTheme="minorEastAsia" w:hAnsiTheme="minorHAnsi"/>
          <w:sz w:val="22"/>
        </w:rPr>
        <w:t xml:space="preserve">combined cycle units with capacity greater than 300 MW would either need to limit capacity factor to less than 50% or install low-GHG hydrogen or CCS on the same timeline as new units. </w:t>
      </w:r>
      <w:r w:rsidR="004920D8">
        <w:rPr>
          <w:rFonts w:asciiTheme="minorHAnsi" w:eastAsiaTheme="minorEastAsia" w:hAnsiTheme="minorHAnsi"/>
          <w:sz w:val="22"/>
        </w:rPr>
        <w:t xml:space="preserve">For existing coal units, </w:t>
      </w:r>
      <w:r w:rsidR="005B2806">
        <w:rPr>
          <w:rFonts w:asciiTheme="minorHAnsi" w:eastAsiaTheme="minorEastAsia" w:hAnsiTheme="minorHAnsi"/>
          <w:sz w:val="22"/>
        </w:rPr>
        <w:t>the proposed options include</w:t>
      </w:r>
      <w:r w:rsidR="005C49CA">
        <w:rPr>
          <w:rFonts w:asciiTheme="minorHAnsi" w:eastAsiaTheme="minorEastAsia" w:hAnsiTheme="minorHAnsi"/>
          <w:sz w:val="22"/>
        </w:rPr>
        <w:t xml:space="preserve">: </w:t>
      </w:r>
      <w:r w:rsidR="00C94DC7">
        <w:rPr>
          <w:rFonts w:asciiTheme="minorHAnsi" w:eastAsiaTheme="minorEastAsia" w:hAnsiTheme="minorHAnsi"/>
          <w:sz w:val="22"/>
        </w:rPr>
        <w:t>retirement b</w:t>
      </w:r>
      <w:r w:rsidR="00C64398">
        <w:rPr>
          <w:rFonts w:asciiTheme="minorHAnsi" w:eastAsiaTheme="minorEastAsia" w:hAnsiTheme="minorHAnsi"/>
          <w:sz w:val="22"/>
        </w:rPr>
        <w:t xml:space="preserve">efore 2032; capacity factor of 20% starting in 2030 and retirement before 2035; </w:t>
      </w:r>
      <w:r w:rsidR="00A86047">
        <w:rPr>
          <w:rFonts w:asciiTheme="minorHAnsi" w:eastAsiaTheme="minorEastAsia" w:hAnsiTheme="minorHAnsi"/>
          <w:sz w:val="22"/>
        </w:rPr>
        <w:t xml:space="preserve">40% natural gas co-firing by 2030 and </w:t>
      </w:r>
      <w:r w:rsidR="00A86047">
        <w:rPr>
          <w:rFonts w:asciiTheme="minorHAnsi" w:eastAsiaTheme="minorEastAsia" w:hAnsiTheme="minorHAnsi"/>
          <w:sz w:val="22"/>
        </w:rPr>
        <w:lastRenderedPageBreak/>
        <w:t xml:space="preserve">retirement before 2040; and </w:t>
      </w:r>
      <w:r w:rsidR="00E23BAE">
        <w:rPr>
          <w:rFonts w:asciiTheme="minorHAnsi" w:eastAsiaTheme="minorEastAsia" w:hAnsiTheme="minorHAnsi"/>
          <w:sz w:val="22"/>
        </w:rPr>
        <w:t xml:space="preserve">90% carbon capture and sequestration by 2030. </w:t>
      </w:r>
      <w:r w:rsidR="00687C07">
        <w:rPr>
          <w:rFonts w:asciiTheme="minorHAnsi" w:eastAsiaTheme="minorEastAsia" w:hAnsiTheme="minorHAnsi"/>
          <w:sz w:val="22"/>
        </w:rPr>
        <w:t xml:space="preserve">Existing gas-fired steam units </w:t>
      </w:r>
      <w:r w:rsidR="00104C80">
        <w:rPr>
          <w:rFonts w:asciiTheme="minorHAnsi" w:eastAsiaTheme="minorEastAsia" w:hAnsiTheme="minorHAnsi"/>
          <w:sz w:val="22"/>
        </w:rPr>
        <w:t>may</w:t>
      </w:r>
      <w:r w:rsidR="00687C07">
        <w:rPr>
          <w:rFonts w:asciiTheme="minorHAnsi" w:eastAsiaTheme="minorEastAsia" w:hAnsiTheme="minorHAnsi"/>
          <w:sz w:val="22"/>
        </w:rPr>
        <w:t xml:space="preserve"> also </w:t>
      </w:r>
      <w:r w:rsidR="00104C80">
        <w:rPr>
          <w:rFonts w:asciiTheme="minorHAnsi" w:eastAsiaTheme="minorEastAsia" w:hAnsiTheme="minorHAnsi"/>
          <w:sz w:val="22"/>
        </w:rPr>
        <w:t xml:space="preserve">need to </w:t>
      </w:r>
      <w:r w:rsidR="00687C07">
        <w:rPr>
          <w:rFonts w:asciiTheme="minorHAnsi" w:eastAsiaTheme="minorEastAsia" w:hAnsiTheme="minorHAnsi"/>
          <w:sz w:val="22"/>
        </w:rPr>
        <w:t xml:space="preserve">meet emission standards </w:t>
      </w:r>
      <w:r w:rsidR="00980317">
        <w:rPr>
          <w:rFonts w:asciiTheme="minorHAnsi" w:eastAsiaTheme="minorEastAsia" w:hAnsiTheme="minorHAnsi"/>
          <w:sz w:val="22"/>
        </w:rPr>
        <w:t xml:space="preserve">of </w:t>
      </w:r>
      <w:r w:rsidR="00104C80">
        <w:rPr>
          <w:rFonts w:asciiTheme="minorHAnsi" w:eastAsiaTheme="minorEastAsia" w:hAnsiTheme="minorHAnsi"/>
          <w:sz w:val="22"/>
        </w:rPr>
        <w:t>1,300</w:t>
      </w:r>
      <w:r w:rsidR="00980317">
        <w:rPr>
          <w:rFonts w:asciiTheme="minorHAnsi" w:eastAsiaTheme="minorEastAsia" w:hAnsiTheme="minorHAnsi"/>
          <w:sz w:val="22"/>
        </w:rPr>
        <w:t xml:space="preserve"> lb CO2/MWh gross or </w:t>
      </w:r>
      <w:r w:rsidR="00104C80">
        <w:rPr>
          <w:rFonts w:asciiTheme="minorHAnsi" w:eastAsiaTheme="minorEastAsia" w:hAnsiTheme="minorHAnsi"/>
          <w:sz w:val="22"/>
        </w:rPr>
        <w:t>1,500</w:t>
      </w:r>
      <w:r w:rsidR="00980317">
        <w:rPr>
          <w:rFonts w:asciiTheme="minorHAnsi" w:eastAsiaTheme="minorEastAsia" w:hAnsiTheme="minorHAnsi"/>
          <w:sz w:val="22"/>
        </w:rPr>
        <w:t xml:space="preserve"> lb CO2/MWh gross, depending on capacity factor, </w:t>
      </w:r>
      <w:r w:rsidR="00687C07">
        <w:rPr>
          <w:rFonts w:asciiTheme="minorHAnsi" w:eastAsiaTheme="minorEastAsia" w:hAnsiTheme="minorHAnsi"/>
          <w:sz w:val="22"/>
        </w:rPr>
        <w:t>by 2030</w:t>
      </w:r>
      <w:r w:rsidR="00980317">
        <w:rPr>
          <w:rFonts w:asciiTheme="minorHAnsi" w:eastAsiaTheme="minorEastAsia" w:hAnsiTheme="minorHAnsi"/>
          <w:sz w:val="22"/>
        </w:rPr>
        <w:t>.</w:t>
      </w:r>
      <w:r w:rsidR="00687C07">
        <w:rPr>
          <w:rFonts w:asciiTheme="minorHAnsi" w:eastAsiaTheme="minorEastAsia" w:hAnsiTheme="minorHAnsi"/>
          <w:sz w:val="22"/>
        </w:rPr>
        <w:t xml:space="preserve"> </w:t>
      </w:r>
      <w:r w:rsidR="00104C80">
        <w:rPr>
          <w:rFonts w:asciiTheme="minorHAnsi" w:eastAsiaTheme="minorEastAsia" w:hAnsiTheme="minorHAnsi"/>
          <w:sz w:val="22"/>
        </w:rPr>
        <w:t>W</w:t>
      </w:r>
      <w:r w:rsidR="00DC3949">
        <w:rPr>
          <w:rFonts w:asciiTheme="minorHAnsi" w:eastAsiaTheme="minorEastAsia" w:hAnsiTheme="minorHAnsi"/>
          <w:sz w:val="22"/>
        </w:rPr>
        <w:t xml:space="preserve">hile the requirements for new units will be effective immediately upon rule finalization, there will be additional steps for existing units before final requirements are known. States will be responsible for developing state-specific plans to implement the guidelines for existing units and can, under certain circumstances, finalize less stringent standards or timelines for specific facilities. State plans are </w:t>
      </w:r>
      <w:r w:rsidR="004D3D0B">
        <w:rPr>
          <w:rFonts w:asciiTheme="minorHAnsi" w:eastAsiaTheme="minorEastAsia" w:hAnsiTheme="minorHAnsi"/>
          <w:sz w:val="22"/>
        </w:rPr>
        <w:t xml:space="preserve">proposed to be </w:t>
      </w:r>
      <w:r w:rsidR="00DC3949">
        <w:rPr>
          <w:rFonts w:asciiTheme="minorHAnsi" w:eastAsiaTheme="minorEastAsia" w:hAnsiTheme="minorHAnsi"/>
          <w:sz w:val="22"/>
        </w:rPr>
        <w:t xml:space="preserve">due </w:t>
      </w:r>
      <w:r w:rsidR="004D3D0B">
        <w:rPr>
          <w:rFonts w:asciiTheme="minorHAnsi" w:eastAsiaTheme="minorEastAsia" w:hAnsiTheme="minorHAnsi"/>
          <w:sz w:val="22"/>
        </w:rPr>
        <w:t xml:space="preserve">within </w:t>
      </w:r>
      <w:r w:rsidR="00DC3949">
        <w:rPr>
          <w:rFonts w:asciiTheme="minorHAnsi" w:eastAsiaTheme="minorEastAsia" w:hAnsiTheme="minorHAnsi"/>
          <w:sz w:val="22"/>
        </w:rPr>
        <w:t>two years and are subject to EPA review and approval</w:t>
      </w:r>
      <w:r w:rsidR="002850DD">
        <w:rPr>
          <w:rFonts w:asciiTheme="minorHAnsi" w:eastAsiaTheme="minorEastAsia" w:hAnsiTheme="minorHAnsi"/>
          <w:sz w:val="22"/>
        </w:rPr>
        <w:t xml:space="preserve">, which can take up to one </w:t>
      </w:r>
      <w:r w:rsidR="00541D1E">
        <w:rPr>
          <w:rFonts w:asciiTheme="minorHAnsi" w:eastAsiaTheme="minorEastAsia" w:hAnsiTheme="minorHAnsi"/>
          <w:sz w:val="22"/>
        </w:rPr>
        <w:t xml:space="preserve">additional </w:t>
      </w:r>
      <w:r w:rsidR="002850DD">
        <w:rPr>
          <w:rFonts w:asciiTheme="minorHAnsi" w:eastAsiaTheme="minorEastAsia" w:hAnsiTheme="minorHAnsi"/>
          <w:sz w:val="22"/>
        </w:rPr>
        <w:t>year</w:t>
      </w:r>
      <w:r w:rsidR="00DC3949">
        <w:rPr>
          <w:rFonts w:asciiTheme="minorHAnsi" w:eastAsiaTheme="minorEastAsia" w:hAnsiTheme="minorHAnsi"/>
          <w:sz w:val="22"/>
        </w:rPr>
        <w:t xml:space="preserve">. </w:t>
      </w:r>
    </w:p>
    <w:p w14:paraId="214A87EB" w14:textId="4AB8820B" w:rsidR="00D90597" w:rsidRDefault="00064C25" w:rsidP="00E53205">
      <w:pPr>
        <w:pStyle w:val="ListParagraph"/>
        <w:numPr>
          <w:ilvl w:val="0"/>
          <w:numId w:val="7"/>
        </w:numPr>
        <w:rPr>
          <w:rFonts w:asciiTheme="minorHAnsi" w:eastAsiaTheme="minorEastAsia" w:hAnsiTheme="minorHAnsi"/>
          <w:sz w:val="22"/>
        </w:rPr>
      </w:pPr>
      <w:r>
        <w:rPr>
          <w:rFonts w:asciiTheme="minorHAnsi" w:eastAsiaTheme="minorEastAsia" w:hAnsiTheme="minorHAnsi"/>
          <w:sz w:val="22"/>
        </w:rPr>
        <w:t xml:space="preserve">On November 17, 2023, EPA finalized </w:t>
      </w:r>
      <w:r w:rsidR="00D90597">
        <w:rPr>
          <w:rFonts w:asciiTheme="minorHAnsi" w:eastAsiaTheme="minorEastAsia" w:hAnsiTheme="minorHAnsi"/>
          <w:sz w:val="22"/>
        </w:rPr>
        <w:t xml:space="preserve">changes </w:t>
      </w:r>
      <w:r w:rsidR="000B0CAD">
        <w:rPr>
          <w:rFonts w:asciiTheme="minorHAnsi" w:eastAsiaTheme="minorEastAsia" w:hAnsiTheme="minorHAnsi"/>
          <w:sz w:val="22"/>
        </w:rPr>
        <w:t xml:space="preserve">proposed in December of 2022 </w:t>
      </w:r>
      <w:r w:rsidR="00D90597">
        <w:rPr>
          <w:rFonts w:asciiTheme="minorHAnsi" w:eastAsiaTheme="minorEastAsia" w:hAnsiTheme="minorHAnsi"/>
          <w:sz w:val="22"/>
        </w:rPr>
        <w:t>to the generally applicable 111(d) implementing regulations, including c</w:t>
      </w:r>
      <w:r w:rsidR="00D90597" w:rsidRPr="00EE04C1">
        <w:rPr>
          <w:rFonts w:asciiTheme="minorHAnsi" w:eastAsiaTheme="minorEastAsia" w:hAnsiTheme="minorHAnsi"/>
          <w:sz w:val="22"/>
        </w:rPr>
        <w:t>larification that states may adopt trading or averaging</w:t>
      </w:r>
      <w:r w:rsidR="00D90597">
        <w:rPr>
          <w:rFonts w:asciiTheme="minorHAnsi" w:eastAsiaTheme="minorEastAsia" w:hAnsiTheme="minorHAnsi"/>
          <w:sz w:val="22"/>
        </w:rPr>
        <w:t xml:space="preserve"> measures but also limiting time for state plan development and limiting the states’ ability to consider remaining useful life of a facility in setting standards</w:t>
      </w:r>
      <w:r w:rsidR="00D90597" w:rsidRPr="00EE04C1">
        <w:rPr>
          <w:rFonts w:asciiTheme="minorHAnsi" w:eastAsiaTheme="minorEastAsia" w:hAnsiTheme="minorHAnsi"/>
          <w:sz w:val="22"/>
        </w:rPr>
        <w:t>.</w:t>
      </w:r>
      <w:r w:rsidR="00D90597">
        <w:rPr>
          <w:rFonts w:asciiTheme="minorHAnsi" w:eastAsiaTheme="minorEastAsia" w:hAnsiTheme="minorHAnsi"/>
          <w:sz w:val="22"/>
        </w:rPr>
        <w:t xml:space="preserve"> The proposal also states that source category-specific regulations may override the generally applicable requirements. </w:t>
      </w:r>
    </w:p>
    <w:p w14:paraId="6C33DF40" w14:textId="0B11064D" w:rsidR="005B38D6" w:rsidRDefault="005B38D6" w:rsidP="009B2391">
      <w:pPr>
        <w:pStyle w:val="ListParagraph"/>
        <w:numPr>
          <w:ilvl w:val="0"/>
          <w:numId w:val="7"/>
        </w:numPr>
        <w:rPr>
          <w:rFonts w:asciiTheme="minorHAnsi" w:eastAsiaTheme="minorEastAsia" w:hAnsiTheme="minorHAnsi"/>
          <w:sz w:val="22"/>
        </w:rPr>
      </w:pPr>
      <w:r>
        <w:rPr>
          <w:rFonts w:asciiTheme="minorHAnsi" w:eastAsiaTheme="minorEastAsia" w:hAnsiTheme="minorHAnsi"/>
          <w:sz w:val="22"/>
        </w:rPr>
        <w:t xml:space="preserve">On February 29, 2024, EPA Administrator Michael Regan announced that </w:t>
      </w:r>
      <w:r w:rsidR="00D90016" w:rsidRPr="00D90016">
        <w:rPr>
          <w:rFonts w:asciiTheme="minorHAnsi" w:eastAsiaTheme="minorEastAsia" w:hAnsiTheme="minorHAnsi"/>
          <w:sz w:val="22"/>
        </w:rPr>
        <w:t xml:space="preserve">the existing source proposal for natural gas electric generating units would not </w:t>
      </w:r>
      <w:r w:rsidR="008525AB">
        <w:rPr>
          <w:rFonts w:asciiTheme="minorHAnsi" w:eastAsiaTheme="minorEastAsia" w:hAnsiTheme="minorHAnsi"/>
          <w:sz w:val="22"/>
        </w:rPr>
        <w:t>be finalized when EPA releases the final Section 111 GHG regulations this spring.</w:t>
      </w:r>
      <w:r w:rsidR="00C7414A">
        <w:rPr>
          <w:rFonts w:asciiTheme="minorHAnsi" w:eastAsiaTheme="minorEastAsia" w:hAnsiTheme="minorHAnsi"/>
          <w:sz w:val="22"/>
        </w:rPr>
        <w:t xml:space="preserve"> Instead, EPA will take additional time </w:t>
      </w:r>
      <w:r w:rsidR="009B2391">
        <w:rPr>
          <w:rFonts w:asciiTheme="minorHAnsi" w:eastAsiaTheme="minorEastAsia" w:hAnsiTheme="minorHAnsi"/>
          <w:sz w:val="22"/>
        </w:rPr>
        <w:t>to develop a more comprehensive approach for existing natural gas units that the agency expects to achieve a greater level of emission reductions. The timeline for the additional rulemaking is unknown.</w:t>
      </w:r>
      <w:r w:rsidR="00596EE8">
        <w:rPr>
          <w:rFonts w:asciiTheme="minorHAnsi" w:eastAsiaTheme="minorEastAsia" w:hAnsiTheme="minorHAnsi"/>
          <w:sz w:val="22"/>
        </w:rPr>
        <w:t xml:space="preserve"> Final rules for existing coal and new natural gas units are expected to be released by April 2024.</w:t>
      </w:r>
    </w:p>
    <w:p w14:paraId="3B8EE42B" w14:textId="68D66004" w:rsidR="004D3D0B" w:rsidRPr="009B2391" w:rsidRDefault="004D3D0B" w:rsidP="009B2391">
      <w:pPr>
        <w:pStyle w:val="ListParagraph"/>
        <w:numPr>
          <w:ilvl w:val="0"/>
          <w:numId w:val="7"/>
        </w:numPr>
        <w:rPr>
          <w:rFonts w:asciiTheme="minorHAnsi" w:eastAsiaTheme="minorEastAsia" w:hAnsiTheme="minorHAnsi"/>
          <w:sz w:val="22"/>
        </w:rPr>
      </w:pPr>
      <w:r w:rsidRPr="004D3D0B">
        <w:rPr>
          <w:rFonts w:asciiTheme="minorHAnsi" w:eastAsiaTheme="minorEastAsia" w:hAnsiTheme="minorHAnsi"/>
          <w:sz w:val="22"/>
        </w:rPr>
        <w:t>On March 26</w:t>
      </w:r>
      <w:r>
        <w:rPr>
          <w:rFonts w:asciiTheme="minorHAnsi" w:eastAsiaTheme="minorEastAsia" w:hAnsiTheme="minorHAnsi"/>
          <w:sz w:val="22"/>
        </w:rPr>
        <w:t>, 2004,</w:t>
      </w:r>
      <w:r w:rsidRPr="004D3D0B">
        <w:rPr>
          <w:rFonts w:asciiTheme="minorHAnsi" w:eastAsiaTheme="minorEastAsia" w:hAnsiTheme="minorHAnsi"/>
          <w:sz w:val="22"/>
        </w:rPr>
        <w:t xml:space="preserve"> EPA opened a non-rulemaking regulatory docket seeking public input on reduc</w:t>
      </w:r>
      <w:r>
        <w:rPr>
          <w:rFonts w:asciiTheme="minorHAnsi" w:eastAsiaTheme="minorEastAsia" w:hAnsiTheme="minorHAnsi"/>
          <w:sz w:val="22"/>
        </w:rPr>
        <w:t>ing</w:t>
      </w:r>
      <w:r w:rsidRPr="004D3D0B">
        <w:rPr>
          <w:rFonts w:asciiTheme="minorHAnsi" w:eastAsiaTheme="minorEastAsia" w:hAnsiTheme="minorHAnsi"/>
          <w:sz w:val="22"/>
        </w:rPr>
        <w:t xml:space="preserve"> </w:t>
      </w:r>
      <w:r>
        <w:rPr>
          <w:rFonts w:asciiTheme="minorHAnsi" w:eastAsiaTheme="minorEastAsia" w:hAnsiTheme="minorHAnsi"/>
          <w:sz w:val="22"/>
        </w:rPr>
        <w:t xml:space="preserve">GHG </w:t>
      </w:r>
      <w:r w:rsidRPr="004D3D0B">
        <w:rPr>
          <w:rFonts w:asciiTheme="minorHAnsi" w:eastAsiaTheme="minorEastAsia" w:hAnsiTheme="minorHAnsi"/>
          <w:sz w:val="22"/>
        </w:rPr>
        <w:t>emissions from existing fossil fuel-fired stationary combustion turbines.</w:t>
      </w:r>
    </w:p>
    <w:p w14:paraId="692E81C6" w14:textId="50D72166" w:rsidR="00CA448C" w:rsidRPr="00CA448C" w:rsidRDefault="00DD219A" w:rsidP="00677698">
      <w:pPr>
        <w:rPr>
          <w:b/>
          <w:bCs/>
          <w:color w:val="C00000"/>
        </w:rPr>
      </w:pPr>
      <w:r>
        <w:rPr>
          <w:rFonts w:asciiTheme="majorHAnsi" w:eastAsiaTheme="majorEastAsia" w:hAnsiTheme="majorHAnsi" w:cstheme="majorBidi"/>
          <w:b/>
          <w:bCs/>
          <w:color w:val="2F5496" w:themeColor="accent1" w:themeShade="BF"/>
          <w:sz w:val="24"/>
          <w:szCs w:val="24"/>
          <w:u w:val="single"/>
        </w:rPr>
        <w:t xml:space="preserve">GHG and Climate Policy </w:t>
      </w:r>
      <w:r w:rsidRPr="00840D0F">
        <w:rPr>
          <w:rFonts w:asciiTheme="majorHAnsi" w:eastAsiaTheme="majorEastAsia" w:hAnsiTheme="majorHAnsi" w:cstheme="majorBidi"/>
          <w:b/>
          <w:bCs/>
          <w:color w:val="2F5496" w:themeColor="accent1" w:themeShade="BF"/>
          <w:sz w:val="24"/>
          <w:szCs w:val="24"/>
          <w:u w:val="single"/>
        </w:rPr>
        <w:t>Compliance Strategy</w:t>
      </w:r>
    </w:p>
    <w:p w14:paraId="0E055C5D" w14:textId="7BC31469" w:rsidR="00730E4C" w:rsidRPr="000F4EEF" w:rsidRDefault="00217255" w:rsidP="000F4EEF">
      <w:pPr>
        <w:spacing w:before="120" w:after="0" w:line="240" w:lineRule="auto"/>
      </w:pPr>
      <w:r w:rsidRPr="00217255">
        <w:rPr>
          <w:bCs/>
          <w:iCs/>
        </w:rPr>
        <w:t xml:space="preserve">Georgia Power </w:t>
      </w:r>
      <w:r w:rsidR="007B3C75">
        <w:rPr>
          <w:bCs/>
          <w:iCs/>
        </w:rPr>
        <w:t>continues to work</w:t>
      </w:r>
      <w:r w:rsidRPr="00217255">
        <w:rPr>
          <w:bCs/>
          <w:iCs/>
        </w:rPr>
        <w:t xml:space="preserve"> with</w:t>
      </w:r>
      <w:r w:rsidR="00A21458" w:rsidRPr="00A21458">
        <w:rPr>
          <w:bCs/>
          <w:iCs/>
        </w:rPr>
        <w:t xml:space="preserve"> the Public Service </w:t>
      </w:r>
      <w:r w:rsidRPr="00217255">
        <w:rPr>
          <w:bCs/>
          <w:iCs/>
        </w:rPr>
        <w:t>Commission to pursue</w:t>
      </w:r>
      <w:r w:rsidR="00A21458" w:rsidRPr="00A21458">
        <w:rPr>
          <w:bCs/>
          <w:iCs/>
        </w:rPr>
        <w:t xml:space="preserve"> a responsible fleet transition </w:t>
      </w:r>
      <w:r w:rsidR="00E4785B">
        <w:rPr>
          <w:bCs/>
          <w:iCs/>
        </w:rPr>
        <w:t>through a well-balanced</w:t>
      </w:r>
      <w:r w:rsidR="00A8691E">
        <w:rPr>
          <w:bCs/>
          <w:iCs/>
        </w:rPr>
        <w:t xml:space="preserve"> and diversified approach</w:t>
      </w:r>
      <w:r w:rsidR="00A21458" w:rsidRPr="00A21458">
        <w:rPr>
          <w:bCs/>
          <w:iCs/>
        </w:rPr>
        <w:t xml:space="preserve"> that considers the critical need to supply clean, safe, reliable, and affordable electricity to customers. </w:t>
      </w:r>
      <w:r w:rsidRPr="00217255">
        <w:rPr>
          <w:bCs/>
          <w:iCs/>
        </w:rPr>
        <w:t>EPA’s 2023 proposed rules for power plant GHG emissions are based on unrealistic compliance dates and discount major infrastructure challenges</w:t>
      </w:r>
      <w:r w:rsidR="0010314C">
        <w:rPr>
          <w:bCs/>
          <w:iCs/>
        </w:rPr>
        <w:t>, such as pipeline and transmission construction</w:t>
      </w:r>
      <w:r w:rsidR="005827D8">
        <w:rPr>
          <w:bCs/>
          <w:iCs/>
        </w:rPr>
        <w:t>,</w:t>
      </w:r>
      <w:r w:rsidRPr="00217255">
        <w:rPr>
          <w:bCs/>
          <w:iCs/>
        </w:rPr>
        <w:t xml:space="preserve"> for</w:t>
      </w:r>
      <w:r w:rsidR="00A21458" w:rsidRPr="00A21458">
        <w:rPr>
          <w:bCs/>
          <w:iCs/>
        </w:rPr>
        <w:t xml:space="preserve"> implementation of carbon capture and sequestration </w:t>
      </w:r>
      <w:r w:rsidRPr="00217255">
        <w:rPr>
          <w:bCs/>
          <w:iCs/>
        </w:rPr>
        <w:t>and low</w:t>
      </w:r>
      <w:r w:rsidR="00782B48">
        <w:rPr>
          <w:bCs/>
          <w:iCs/>
        </w:rPr>
        <w:t>-GHG</w:t>
      </w:r>
      <w:r w:rsidR="00A21458" w:rsidRPr="00A21458">
        <w:rPr>
          <w:bCs/>
          <w:iCs/>
        </w:rPr>
        <w:t xml:space="preserve"> hydrogen co-firing</w:t>
      </w:r>
      <w:r w:rsidRPr="00217255">
        <w:rPr>
          <w:bCs/>
          <w:iCs/>
        </w:rPr>
        <w:t>. As such, the proposal would increase</w:t>
      </w:r>
      <w:r w:rsidR="00A21458" w:rsidRPr="00A21458">
        <w:rPr>
          <w:bCs/>
          <w:iCs/>
        </w:rPr>
        <w:t xml:space="preserve"> reliability and affordability </w:t>
      </w:r>
      <w:r w:rsidRPr="00217255">
        <w:rPr>
          <w:bCs/>
          <w:iCs/>
        </w:rPr>
        <w:t xml:space="preserve">risks by potentially forcing early coal retirements and imposing severe operational constraints on coal and </w:t>
      </w:r>
      <w:r w:rsidR="000863D2">
        <w:rPr>
          <w:bCs/>
          <w:iCs/>
        </w:rPr>
        <w:t xml:space="preserve">new </w:t>
      </w:r>
      <w:r w:rsidRPr="00217255">
        <w:rPr>
          <w:bCs/>
          <w:iCs/>
        </w:rPr>
        <w:t xml:space="preserve">natural gas combined-cycle units. While new units would be subject to the final standards immediately, the Georgia </w:t>
      </w:r>
      <w:r w:rsidR="00782B48">
        <w:rPr>
          <w:bCs/>
          <w:iCs/>
        </w:rPr>
        <w:t xml:space="preserve">EPD </w:t>
      </w:r>
      <w:r w:rsidRPr="00217255">
        <w:rPr>
          <w:bCs/>
          <w:iCs/>
        </w:rPr>
        <w:t xml:space="preserve">will be responsible for setting final existing unit standards in a state plan. The state plan process and EPA review and approval can take up to three years under the proposal. With the uncertainty in both final rule and state plan requirements, </w:t>
      </w:r>
      <w:r w:rsidR="00410982">
        <w:rPr>
          <w:bCs/>
          <w:iCs/>
        </w:rPr>
        <w:t xml:space="preserve">it is premature to develop compliance strategies for </w:t>
      </w:r>
      <w:r w:rsidRPr="00217255">
        <w:rPr>
          <w:bCs/>
          <w:iCs/>
        </w:rPr>
        <w:t>the Georgia Power</w:t>
      </w:r>
      <w:r w:rsidR="00410982">
        <w:rPr>
          <w:bCs/>
          <w:iCs/>
        </w:rPr>
        <w:t xml:space="preserve"> generating fleet</w:t>
      </w:r>
      <w:r w:rsidRPr="00217255">
        <w:rPr>
          <w:bCs/>
          <w:iCs/>
        </w:rPr>
        <w:t xml:space="preserve">. </w:t>
      </w:r>
      <w:r w:rsidR="004E2883">
        <w:rPr>
          <w:bCs/>
          <w:iCs/>
        </w:rPr>
        <w:t>When the final EPA rules are issued, t</w:t>
      </w:r>
      <w:r w:rsidRPr="00217255">
        <w:rPr>
          <w:bCs/>
          <w:iCs/>
        </w:rPr>
        <w:t xml:space="preserve">he Company will assess the final </w:t>
      </w:r>
      <w:r w:rsidR="004E2883">
        <w:rPr>
          <w:bCs/>
          <w:iCs/>
        </w:rPr>
        <w:t xml:space="preserve">requirements </w:t>
      </w:r>
      <w:r w:rsidRPr="00217255">
        <w:rPr>
          <w:bCs/>
          <w:iCs/>
        </w:rPr>
        <w:t xml:space="preserve">and is committed to working constructively with Georgia EPD on the state plan. </w:t>
      </w:r>
      <w:r w:rsidR="00730E4C">
        <w:t>For the proposed combustion turbines at Plant Yates, Georgia Power expects to comply with the 111 Rule and does not anticipate any changes impacting the decision to request these additional resources.</w:t>
      </w:r>
    </w:p>
    <w:p w14:paraId="0A8F5D2B" w14:textId="77777777" w:rsidR="007F59C9" w:rsidRDefault="00DE6D05" w:rsidP="007F59C9">
      <w:pPr>
        <w:spacing w:before="120" w:after="0" w:line="240" w:lineRule="auto"/>
        <w:rPr>
          <w:rFonts w:eastAsia="Calibri"/>
        </w:rPr>
      </w:pPr>
      <w:r w:rsidRPr="000F4EEF">
        <w:t>Overall, t</w:t>
      </w:r>
      <w:r w:rsidR="00CA448C" w:rsidRPr="000F4EEF">
        <w:t>he potential actions around greenhouse gas emissions and climate policy are expected to result in legislative or regulatory pressures aimed at reducing carbon emissions, which would be most impactful to fossil generation units.  With a wide range of possible outcomes, the Company’s scenario planning process</w:t>
      </w:r>
      <w:r w:rsidR="00CA448C" w:rsidRPr="3E557F12">
        <w:rPr>
          <w:rFonts w:eastAsia="Calibri"/>
        </w:rPr>
        <w:t xml:space="preserve"> remains the best way to capture potential financial </w:t>
      </w:r>
      <w:r w:rsidR="00CA448C" w:rsidRPr="28CFE88B">
        <w:rPr>
          <w:rFonts w:eastAsia="Calibri"/>
        </w:rPr>
        <w:t>impacts</w:t>
      </w:r>
      <w:r w:rsidR="00CA448C">
        <w:rPr>
          <w:rFonts w:eastAsia="Calibri"/>
        </w:rPr>
        <w:t xml:space="preserve"> and allow for long-term planning</w:t>
      </w:r>
      <w:r w:rsidR="00CA448C" w:rsidRPr="57C28621">
        <w:rPr>
          <w:rFonts w:eastAsia="Calibri"/>
        </w:rPr>
        <w:t xml:space="preserve"> to mitigate risks to customers.</w:t>
      </w:r>
      <w:r w:rsidR="00CA448C" w:rsidRPr="52FC7AF0">
        <w:rPr>
          <w:rFonts w:eastAsia="Arial" w:cs="Arial"/>
        </w:rPr>
        <w:t xml:space="preserve"> </w:t>
      </w:r>
      <w:r w:rsidR="00CA448C" w:rsidRPr="3E557F12">
        <w:rPr>
          <w:rFonts w:eastAsia="Calibri"/>
        </w:rPr>
        <w:t xml:space="preserve">The Company will monitor and evaluate the outcome of these executive, legislative, and regulatory actions and </w:t>
      </w:r>
      <w:r w:rsidR="00CA448C">
        <w:rPr>
          <w:rFonts w:eastAsia="Calibri"/>
        </w:rPr>
        <w:t>incorporate any new information into the</w:t>
      </w:r>
      <w:r w:rsidR="00CA448C" w:rsidRPr="3E557F12">
        <w:rPr>
          <w:rFonts w:eastAsia="Calibri"/>
        </w:rPr>
        <w:t xml:space="preserve"> compliance strateg</w:t>
      </w:r>
      <w:r w:rsidR="00CA448C">
        <w:rPr>
          <w:rFonts w:eastAsia="Calibri"/>
        </w:rPr>
        <w:t>y process</w:t>
      </w:r>
      <w:r w:rsidR="00CA448C" w:rsidRPr="3E557F12">
        <w:rPr>
          <w:rFonts w:eastAsia="Calibri"/>
        </w:rPr>
        <w:t xml:space="preserve"> as appropriate.</w:t>
      </w:r>
      <w:r w:rsidR="002222AC">
        <w:rPr>
          <w:rFonts w:eastAsia="Calibri"/>
        </w:rPr>
        <w:t xml:space="preserve"> </w:t>
      </w:r>
      <w:r w:rsidR="002316E5">
        <w:rPr>
          <w:rFonts w:eastAsia="Calibri"/>
        </w:rPr>
        <w:t>Greenhouse gas controls</w:t>
      </w:r>
      <w:r w:rsidR="002222AC">
        <w:rPr>
          <w:rFonts w:eastAsia="Calibri"/>
        </w:rPr>
        <w:t xml:space="preserve"> and </w:t>
      </w:r>
      <w:r w:rsidR="002316E5">
        <w:rPr>
          <w:rFonts w:eastAsia="Calibri"/>
        </w:rPr>
        <w:t xml:space="preserve">reduction measures </w:t>
      </w:r>
      <w:r w:rsidR="00C819E5">
        <w:rPr>
          <w:rFonts w:eastAsia="Calibri"/>
        </w:rPr>
        <w:t>are</w:t>
      </w:r>
      <w:r w:rsidR="002222AC">
        <w:rPr>
          <w:rFonts w:eastAsia="Calibri"/>
        </w:rPr>
        <w:t xml:space="preserve"> another area where the Company</w:t>
      </w:r>
      <w:r w:rsidR="00515941">
        <w:rPr>
          <w:rFonts w:eastAsia="Calibri"/>
        </w:rPr>
        <w:t xml:space="preserve"> </w:t>
      </w:r>
      <w:r w:rsidR="00F26E5C">
        <w:rPr>
          <w:rFonts w:eastAsia="Calibri"/>
        </w:rPr>
        <w:t>performs industry leading</w:t>
      </w:r>
      <w:r w:rsidR="002222AC">
        <w:rPr>
          <w:rFonts w:eastAsia="Calibri"/>
        </w:rPr>
        <w:t xml:space="preserve"> R&amp;D</w:t>
      </w:r>
      <w:r w:rsidR="00654248">
        <w:rPr>
          <w:rFonts w:eastAsia="Calibri"/>
        </w:rPr>
        <w:t xml:space="preserve">, as discussed in </w:t>
      </w:r>
      <w:hyperlink w:anchor="_ECS_-_Appendix" w:history="1">
        <w:r w:rsidR="00654248" w:rsidRPr="00F66D80">
          <w:rPr>
            <w:rStyle w:val="Hyperlink"/>
            <w:rFonts w:asciiTheme="minorHAnsi" w:eastAsia="Calibri" w:hAnsiTheme="minorHAnsi" w:cstheme="minorBidi"/>
            <w:color w:val="auto"/>
            <w:u w:val="none"/>
          </w:rPr>
          <w:t>Appendix C</w:t>
        </w:r>
      </w:hyperlink>
      <w:r w:rsidR="00654248">
        <w:rPr>
          <w:rFonts w:eastAsia="Calibri"/>
        </w:rPr>
        <w:t>,</w:t>
      </w:r>
      <w:r w:rsidR="00093649">
        <w:rPr>
          <w:rFonts w:eastAsia="Calibri"/>
        </w:rPr>
        <w:t xml:space="preserve"> </w:t>
      </w:r>
      <w:r w:rsidR="002C2A08">
        <w:rPr>
          <w:rFonts w:eastAsia="Calibri"/>
        </w:rPr>
        <w:t>seek</w:t>
      </w:r>
      <w:r w:rsidR="00F26E5C">
        <w:rPr>
          <w:rFonts w:eastAsia="Calibri"/>
        </w:rPr>
        <w:t>ing</w:t>
      </w:r>
      <w:r w:rsidR="002C2A08">
        <w:rPr>
          <w:rFonts w:eastAsia="Calibri"/>
        </w:rPr>
        <w:t xml:space="preserve"> to</w:t>
      </w:r>
      <w:r w:rsidR="00093649">
        <w:rPr>
          <w:rFonts w:eastAsia="Calibri"/>
        </w:rPr>
        <w:t xml:space="preserve"> provide the necessary </w:t>
      </w:r>
      <w:r w:rsidR="00F26E5C">
        <w:rPr>
          <w:rFonts w:eastAsia="Calibri"/>
        </w:rPr>
        <w:t xml:space="preserve">long-term </w:t>
      </w:r>
      <w:r w:rsidR="00093649">
        <w:rPr>
          <w:rFonts w:eastAsia="Calibri"/>
        </w:rPr>
        <w:t xml:space="preserve">cost-effective solutions for the generating fleet. </w:t>
      </w:r>
      <w:bookmarkStart w:id="57" w:name="_Toc130201014"/>
    </w:p>
    <w:p w14:paraId="65F1721A" w14:textId="3C3349E0" w:rsidR="002E0878" w:rsidRPr="006E4B3D" w:rsidRDefault="006E4B3D" w:rsidP="007F59C9">
      <w:pPr>
        <w:pStyle w:val="Heading1"/>
        <w:tabs>
          <w:tab w:val="left" w:pos="8246"/>
        </w:tabs>
        <w:spacing w:before="120" w:after="0"/>
        <w:rPr>
          <w:b/>
          <w:bCs/>
          <w:sz w:val="32"/>
          <w:szCs w:val="32"/>
        </w:rPr>
      </w:pPr>
      <w:r w:rsidRPr="006E4B3D">
        <w:rPr>
          <w:b/>
          <w:bCs/>
          <w:sz w:val="32"/>
          <w:szCs w:val="32"/>
        </w:rPr>
        <w:lastRenderedPageBreak/>
        <w:t>3</w:t>
      </w:r>
      <w:r w:rsidR="00312087" w:rsidRPr="006E4B3D">
        <w:rPr>
          <w:b/>
          <w:bCs/>
          <w:sz w:val="32"/>
          <w:szCs w:val="32"/>
        </w:rPr>
        <w:t>.0</w:t>
      </w:r>
      <w:r w:rsidR="002E0878" w:rsidRPr="006E4B3D">
        <w:rPr>
          <w:b/>
          <w:bCs/>
          <w:sz w:val="32"/>
          <w:szCs w:val="32"/>
        </w:rPr>
        <w:t xml:space="preserve"> Financial Summary</w:t>
      </w:r>
      <w:bookmarkEnd w:id="47"/>
      <w:bookmarkEnd w:id="57"/>
    </w:p>
    <w:p w14:paraId="44EA4556" w14:textId="111CEDB8" w:rsidR="00887BE3" w:rsidRPr="007F59C9" w:rsidRDefault="00887BE3" w:rsidP="007F59C9">
      <w:pPr>
        <w:pStyle w:val="Heading1"/>
        <w:tabs>
          <w:tab w:val="left" w:pos="8246"/>
        </w:tabs>
        <w:spacing w:before="120" w:after="0"/>
        <w:rPr>
          <w:rFonts w:asciiTheme="minorHAnsi" w:eastAsiaTheme="minorEastAsia" w:hAnsiTheme="minorHAnsi" w:cstheme="minorBidi"/>
          <w:color w:val="000000" w:themeColor="text1"/>
          <w:sz w:val="22"/>
          <w:szCs w:val="22"/>
        </w:rPr>
      </w:pPr>
      <w:r w:rsidRPr="007F59C9">
        <w:rPr>
          <w:rFonts w:asciiTheme="minorHAnsi" w:eastAsiaTheme="minorEastAsia" w:hAnsiTheme="minorHAnsi" w:cstheme="minorBidi"/>
          <w:color w:val="000000" w:themeColor="text1"/>
          <w:sz w:val="22"/>
          <w:szCs w:val="22"/>
        </w:rPr>
        <w:t xml:space="preserve">In Georgia Power’s Annual Report on Form 10-K for the year ended December 31, </w:t>
      </w:r>
      <w:r w:rsidR="00C40EF4" w:rsidRPr="007F59C9">
        <w:rPr>
          <w:rFonts w:asciiTheme="minorHAnsi" w:eastAsiaTheme="minorEastAsia" w:hAnsiTheme="minorHAnsi" w:cstheme="minorBidi"/>
          <w:color w:val="000000" w:themeColor="text1"/>
          <w:sz w:val="22"/>
          <w:szCs w:val="22"/>
        </w:rPr>
        <w:t>202</w:t>
      </w:r>
      <w:r w:rsidR="007F6249" w:rsidRPr="007F59C9">
        <w:rPr>
          <w:rFonts w:asciiTheme="minorHAnsi" w:eastAsiaTheme="minorEastAsia" w:hAnsiTheme="minorHAnsi" w:cstheme="minorBidi"/>
          <w:color w:val="000000" w:themeColor="text1"/>
          <w:sz w:val="22"/>
          <w:szCs w:val="22"/>
        </w:rPr>
        <w:t>3</w:t>
      </w:r>
      <w:r w:rsidRPr="007F59C9">
        <w:rPr>
          <w:rFonts w:asciiTheme="minorHAnsi" w:eastAsiaTheme="minorEastAsia" w:hAnsiTheme="minorHAnsi" w:cstheme="minorBidi"/>
          <w:color w:val="000000" w:themeColor="text1"/>
          <w:sz w:val="22"/>
          <w:szCs w:val="22"/>
        </w:rPr>
        <w:t>, Georgia Power projected that base level capital expenditures to comply with existing statutes and regulations will be a total of approximately $</w:t>
      </w:r>
      <w:r w:rsidR="007B5831" w:rsidRPr="007F59C9">
        <w:rPr>
          <w:rFonts w:asciiTheme="minorHAnsi" w:eastAsiaTheme="minorEastAsia" w:hAnsiTheme="minorHAnsi" w:cstheme="minorBidi"/>
          <w:color w:val="000000" w:themeColor="text1"/>
          <w:sz w:val="22"/>
          <w:szCs w:val="22"/>
        </w:rPr>
        <w:t>274</w:t>
      </w:r>
      <w:r w:rsidR="00C40EF4" w:rsidRPr="007F59C9">
        <w:rPr>
          <w:rFonts w:asciiTheme="minorHAnsi" w:eastAsiaTheme="minorEastAsia" w:hAnsiTheme="minorHAnsi" w:cstheme="minorBidi"/>
          <w:color w:val="000000" w:themeColor="text1"/>
          <w:sz w:val="22"/>
          <w:szCs w:val="22"/>
        </w:rPr>
        <w:t xml:space="preserve"> </w:t>
      </w:r>
      <w:r w:rsidRPr="007F59C9">
        <w:rPr>
          <w:rFonts w:asciiTheme="minorHAnsi" w:eastAsiaTheme="minorEastAsia" w:hAnsiTheme="minorHAnsi" w:cstheme="minorBidi"/>
          <w:color w:val="000000" w:themeColor="text1"/>
          <w:sz w:val="22"/>
          <w:szCs w:val="22"/>
        </w:rPr>
        <w:t xml:space="preserve">million from </w:t>
      </w:r>
      <w:r w:rsidR="00C40EF4" w:rsidRPr="007F59C9">
        <w:rPr>
          <w:rFonts w:asciiTheme="minorHAnsi" w:eastAsiaTheme="minorEastAsia" w:hAnsiTheme="minorHAnsi" w:cstheme="minorBidi"/>
          <w:color w:val="000000" w:themeColor="text1"/>
          <w:sz w:val="22"/>
          <w:szCs w:val="22"/>
        </w:rPr>
        <w:t>202</w:t>
      </w:r>
      <w:r w:rsidR="007B5831" w:rsidRPr="007F59C9">
        <w:rPr>
          <w:rFonts w:asciiTheme="minorHAnsi" w:eastAsiaTheme="minorEastAsia" w:hAnsiTheme="minorHAnsi" w:cstheme="minorBidi"/>
          <w:color w:val="000000" w:themeColor="text1"/>
          <w:sz w:val="22"/>
          <w:szCs w:val="22"/>
        </w:rPr>
        <w:t>4</w:t>
      </w:r>
      <w:r w:rsidR="00C40EF4" w:rsidRPr="007F59C9">
        <w:rPr>
          <w:rFonts w:asciiTheme="minorHAnsi" w:eastAsiaTheme="minorEastAsia" w:hAnsiTheme="minorHAnsi" w:cstheme="minorBidi"/>
          <w:color w:val="000000" w:themeColor="text1"/>
          <w:sz w:val="22"/>
          <w:szCs w:val="22"/>
        </w:rPr>
        <w:t xml:space="preserve"> </w:t>
      </w:r>
      <w:r w:rsidRPr="007F59C9">
        <w:rPr>
          <w:rFonts w:asciiTheme="minorHAnsi" w:eastAsiaTheme="minorEastAsia" w:hAnsiTheme="minorHAnsi" w:cstheme="minorBidi"/>
          <w:color w:val="000000" w:themeColor="text1"/>
          <w:sz w:val="22"/>
          <w:szCs w:val="22"/>
        </w:rPr>
        <w:t xml:space="preserve">through </w:t>
      </w:r>
      <w:r w:rsidR="00C40EF4" w:rsidRPr="007F59C9">
        <w:rPr>
          <w:rFonts w:asciiTheme="minorHAnsi" w:eastAsiaTheme="minorEastAsia" w:hAnsiTheme="minorHAnsi" w:cstheme="minorBidi"/>
          <w:color w:val="000000" w:themeColor="text1"/>
          <w:sz w:val="22"/>
          <w:szCs w:val="22"/>
        </w:rPr>
        <w:t>202</w:t>
      </w:r>
      <w:r w:rsidR="007B5831" w:rsidRPr="007F59C9">
        <w:rPr>
          <w:rFonts w:asciiTheme="minorHAnsi" w:eastAsiaTheme="minorEastAsia" w:hAnsiTheme="minorHAnsi" w:cstheme="minorBidi"/>
          <w:color w:val="000000" w:themeColor="text1"/>
          <w:sz w:val="22"/>
          <w:szCs w:val="22"/>
        </w:rPr>
        <w:t>8</w:t>
      </w:r>
      <w:r w:rsidRPr="007F59C9">
        <w:rPr>
          <w:rFonts w:asciiTheme="minorHAnsi" w:eastAsiaTheme="minorEastAsia" w:hAnsiTheme="minorHAnsi" w:cstheme="minorBidi"/>
          <w:color w:val="000000" w:themeColor="text1"/>
          <w:sz w:val="22"/>
          <w:szCs w:val="22"/>
        </w:rPr>
        <w:t>, with annual totals of approximately $</w:t>
      </w:r>
      <w:r w:rsidR="0088464F" w:rsidRPr="007F59C9">
        <w:rPr>
          <w:rFonts w:asciiTheme="minorHAnsi" w:eastAsiaTheme="minorEastAsia" w:hAnsiTheme="minorHAnsi" w:cstheme="minorBidi"/>
          <w:color w:val="000000" w:themeColor="text1"/>
          <w:sz w:val="22"/>
          <w:szCs w:val="22"/>
        </w:rPr>
        <w:t>92</w:t>
      </w:r>
      <w:r w:rsidR="000C19D4" w:rsidRPr="007F59C9">
        <w:rPr>
          <w:rFonts w:asciiTheme="minorHAnsi" w:eastAsiaTheme="minorEastAsia" w:hAnsiTheme="minorHAnsi" w:cstheme="minorBidi"/>
          <w:color w:val="000000" w:themeColor="text1"/>
          <w:sz w:val="22"/>
          <w:szCs w:val="22"/>
        </w:rPr>
        <w:t xml:space="preserve"> </w:t>
      </w:r>
      <w:r w:rsidRPr="007F59C9">
        <w:rPr>
          <w:rFonts w:asciiTheme="minorHAnsi" w:eastAsiaTheme="minorEastAsia" w:hAnsiTheme="minorHAnsi" w:cstheme="minorBidi"/>
          <w:color w:val="000000" w:themeColor="text1"/>
          <w:sz w:val="22"/>
          <w:szCs w:val="22"/>
        </w:rPr>
        <w:t>million, $</w:t>
      </w:r>
      <w:r w:rsidR="000C19D4" w:rsidRPr="007F59C9">
        <w:rPr>
          <w:rFonts w:asciiTheme="minorHAnsi" w:eastAsiaTheme="minorEastAsia" w:hAnsiTheme="minorHAnsi" w:cstheme="minorBidi"/>
          <w:color w:val="000000" w:themeColor="text1"/>
          <w:sz w:val="22"/>
          <w:szCs w:val="22"/>
        </w:rPr>
        <w:t>8</w:t>
      </w:r>
      <w:r w:rsidR="0088464F" w:rsidRPr="007F59C9">
        <w:rPr>
          <w:rFonts w:asciiTheme="minorHAnsi" w:eastAsiaTheme="minorEastAsia" w:hAnsiTheme="minorHAnsi" w:cstheme="minorBidi"/>
          <w:color w:val="000000" w:themeColor="text1"/>
          <w:sz w:val="22"/>
          <w:szCs w:val="22"/>
        </w:rPr>
        <w:t>0</w:t>
      </w:r>
      <w:r w:rsidRPr="007F59C9">
        <w:rPr>
          <w:rFonts w:asciiTheme="minorHAnsi" w:eastAsiaTheme="minorEastAsia" w:hAnsiTheme="minorHAnsi" w:cstheme="minorBidi"/>
          <w:color w:val="000000" w:themeColor="text1"/>
          <w:sz w:val="22"/>
          <w:szCs w:val="22"/>
        </w:rPr>
        <w:t xml:space="preserve"> million, $</w:t>
      </w:r>
      <w:r w:rsidR="0088464F" w:rsidRPr="007F59C9">
        <w:rPr>
          <w:rFonts w:asciiTheme="minorHAnsi" w:eastAsiaTheme="minorEastAsia" w:hAnsiTheme="minorHAnsi" w:cstheme="minorBidi"/>
          <w:color w:val="000000" w:themeColor="text1"/>
          <w:sz w:val="22"/>
          <w:szCs w:val="22"/>
        </w:rPr>
        <w:t>60</w:t>
      </w:r>
      <w:r w:rsidR="000C19D4" w:rsidRPr="007F59C9">
        <w:rPr>
          <w:rFonts w:asciiTheme="minorHAnsi" w:eastAsiaTheme="minorEastAsia" w:hAnsiTheme="minorHAnsi" w:cstheme="minorBidi"/>
          <w:color w:val="000000" w:themeColor="text1"/>
          <w:sz w:val="22"/>
          <w:szCs w:val="22"/>
        </w:rPr>
        <w:t xml:space="preserve"> </w:t>
      </w:r>
      <w:r w:rsidRPr="007F59C9">
        <w:rPr>
          <w:rFonts w:asciiTheme="minorHAnsi" w:eastAsiaTheme="minorEastAsia" w:hAnsiTheme="minorHAnsi" w:cstheme="minorBidi"/>
          <w:color w:val="000000" w:themeColor="text1"/>
          <w:sz w:val="22"/>
          <w:szCs w:val="22"/>
        </w:rPr>
        <w:t>million, $</w:t>
      </w:r>
      <w:r w:rsidR="0088464F" w:rsidRPr="007F59C9">
        <w:rPr>
          <w:rFonts w:asciiTheme="minorHAnsi" w:eastAsiaTheme="minorEastAsia" w:hAnsiTheme="minorHAnsi" w:cstheme="minorBidi"/>
          <w:color w:val="000000" w:themeColor="text1"/>
          <w:sz w:val="22"/>
          <w:szCs w:val="22"/>
        </w:rPr>
        <w:t>32</w:t>
      </w:r>
      <w:r w:rsidR="000C19D4" w:rsidRPr="007F59C9">
        <w:rPr>
          <w:rFonts w:asciiTheme="minorHAnsi" w:eastAsiaTheme="minorEastAsia" w:hAnsiTheme="minorHAnsi" w:cstheme="minorBidi"/>
          <w:color w:val="000000" w:themeColor="text1"/>
          <w:sz w:val="22"/>
          <w:szCs w:val="22"/>
        </w:rPr>
        <w:t xml:space="preserve"> </w:t>
      </w:r>
      <w:r w:rsidRPr="007F59C9">
        <w:rPr>
          <w:rFonts w:asciiTheme="minorHAnsi" w:eastAsiaTheme="minorEastAsia" w:hAnsiTheme="minorHAnsi" w:cstheme="minorBidi"/>
          <w:color w:val="000000" w:themeColor="text1"/>
          <w:sz w:val="22"/>
          <w:szCs w:val="22"/>
        </w:rPr>
        <w:t>million, and $</w:t>
      </w:r>
      <w:r w:rsidR="0088464F" w:rsidRPr="007F59C9">
        <w:rPr>
          <w:rFonts w:asciiTheme="minorHAnsi" w:eastAsiaTheme="minorEastAsia" w:hAnsiTheme="minorHAnsi" w:cstheme="minorBidi"/>
          <w:color w:val="000000" w:themeColor="text1"/>
          <w:sz w:val="22"/>
          <w:szCs w:val="22"/>
        </w:rPr>
        <w:t xml:space="preserve">10 </w:t>
      </w:r>
      <w:r w:rsidRPr="007F59C9">
        <w:rPr>
          <w:rFonts w:asciiTheme="minorHAnsi" w:eastAsiaTheme="minorEastAsia" w:hAnsiTheme="minorHAnsi" w:cstheme="minorBidi"/>
          <w:color w:val="000000" w:themeColor="text1"/>
          <w:sz w:val="22"/>
          <w:szCs w:val="22"/>
        </w:rPr>
        <w:t xml:space="preserve">million for </w:t>
      </w:r>
      <w:r w:rsidR="000C19D4" w:rsidRPr="007F59C9">
        <w:rPr>
          <w:rFonts w:asciiTheme="minorHAnsi" w:eastAsiaTheme="minorEastAsia" w:hAnsiTheme="minorHAnsi" w:cstheme="minorBidi"/>
          <w:color w:val="000000" w:themeColor="text1"/>
          <w:sz w:val="22"/>
          <w:szCs w:val="22"/>
        </w:rPr>
        <w:t>2024</w:t>
      </w:r>
      <w:r w:rsidRPr="007F59C9">
        <w:rPr>
          <w:rFonts w:asciiTheme="minorHAnsi" w:eastAsiaTheme="minorEastAsia" w:hAnsiTheme="minorHAnsi" w:cstheme="minorBidi"/>
          <w:color w:val="000000" w:themeColor="text1"/>
          <w:sz w:val="22"/>
          <w:szCs w:val="22"/>
        </w:rPr>
        <w:t>, 202</w:t>
      </w:r>
      <w:r w:rsidR="00B13452" w:rsidRPr="007F59C9">
        <w:rPr>
          <w:rFonts w:asciiTheme="minorHAnsi" w:eastAsiaTheme="minorEastAsia" w:hAnsiTheme="minorHAnsi" w:cstheme="minorBidi"/>
          <w:color w:val="000000" w:themeColor="text1"/>
          <w:sz w:val="22"/>
          <w:szCs w:val="22"/>
        </w:rPr>
        <w:t>5</w:t>
      </w:r>
      <w:r w:rsidRPr="007F59C9">
        <w:rPr>
          <w:rFonts w:asciiTheme="minorHAnsi" w:eastAsiaTheme="minorEastAsia" w:hAnsiTheme="minorHAnsi" w:cstheme="minorBidi"/>
          <w:color w:val="000000" w:themeColor="text1"/>
          <w:sz w:val="22"/>
          <w:szCs w:val="22"/>
        </w:rPr>
        <w:t xml:space="preserve">, </w:t>
      </w:r>
      <w:r w:rsidR="00B13452" w:rsidRPr="007F59C9">
        <w:rPr>
          <w:rFonts w:asciiTheme="minorHAnsi" w:eastAsiaTheme="minorEastAsia" w:hAnsiTheme="minorHAnsi" w:cstheme="minorBidi"/>
          <w:color w:val="000000" w:themeColor="text1"/>
          <w:sz w:val="22"/>
          <w:szCs w:val="22"/>
        </w:rPr>
        <w:t>2026</w:t>
      </w:r>
      <w:r w:rsidR="0088464F" w:rsidRPr="007F59C9">
        <w:rPr>
          <w:rFonts w:asciiTheme="minorHAnsi" w:eastAsiaTheme="minorEastAsia" w:hAnsiTheme="minorHAnsi" w:cstheme="minorBidi"/>
          <w:color w:val="000000" w:themeColor="text1"/>
          <w:sz w:val="22"/>
          <w:szCs w:val="22"/>
        </w:rPr>
        <w:t>, 2027</w:t>
      </w:r>
      <w:r w:rsidR="00072C14" w:rsidRPr="007F59C9">
        <w:rPr>
          <w:rFonts w:asciiTheme="minorHAnsi" w:eastAsiaTheme="minorEastAsia" w:hAnsiTheme="minorHAnsi" w:cstheme="minorBidi"/>
          <w:color w:val="000000" w:themeColor="text1"/>
          <w:sz w:val="22"/>
          <w:szCs w:val="22"/>
        </w:rPr>
        <w:t>,</w:t>
      </w:r>
      <w:r w:rsidR="00B13452" w:rsidRPr="007F59C9">
        <w:rPr>
          <w:rFonts w:asciiTheme="minorHAnsi" w:eastAsiaTheme="minorEastAsia" w:hAnsiTheme="minorHAnsi" w:cstheme="minorBidi"/>
          <w:color w:val="000000" w:themeColor="text1"/>
          <w:sz w:val="22"/>
          <w:szCs w:val="22"/>
        </w:rPr>
        <w:t xml:space="preserve"> </w:t>
      </w:r>
      <w:r w:rsidRPr="007F59C9">
        <w:rPr>
          <w:rFonts w:asciiTheme="minorHAnsi" w:eastAsiaTheme="minorEastAsia" w:hAnsiTheme="minorHAnsi" w:cstheme="minorBidi"/>
          <w:color w:val="000000" w:themeColor="text1"/>
          <w:sz w:val="22"/>
          <w:szCs w:val="22"/>
        </w:rPr>
        <w:t>and 202</w:t>
      </w:r>
      <w:r w:rsidR="00072C14" w:rsidRPr="007F59C9">
        <w:rPr>
          <w:rFonts w:asciiTheme="minorHAnsi" w:eastAsiaTheme="minorEastAsia" w:hAnsiTheme="minorHAnsi" w:cstheme="minorBidi"/>
          <w:color w:val="000000" w:themeColor="text1"/>
          <w:sz w:val="22"/>
          <w:szCs w:val="22"/>
        </w:rPr>
        <w:t>8</w:t>
      </w:r>
      <w:r w:rsidRPr="007F59C9">
        <w:rPr>
          <w:rFonts w:asciiTheme="minorHAnsi" w:eastAsiaTheme="minorEastAsia" w:hAnsiTheme="minorHAnsi" w:cstheme="minorBidi"/>
          <w:color w:val="000000" w:themeColor="text1"/>
          <w:sz w:val="22"/>
          <w:szCs w:val="22"/>
        </w:rPr>
        <w:t xml:space="preserve">, respectively. </w:t>
      </w:r>
      <w:r w:rsidR="009A33BF" w:rsidRPr="007F59C9">
        <w:rPr>
          <w:rFonts w:asciiTheme="minorHAnsi" w:eastAsiaTheme="minorEastAsia" w:hAnsiTheme="minorHAnsi" w:cstheme="minorBidi"/>
          <w:color w:val="000000" w:themeColor="text1"/>
          <w:sz w:val="22"/>
          <w:szCs w:val="22"/>
        </w:rPr>
        <w:t>T</w:t>
      </w:r>
      <w:r w:rsidRPr="007F59C9">
        <w:rPr>
          <w:rFonts w:asciiTheme="minorHAnsi" w:eastAsiaTheme="minorEastAsia" w:hAnsiTheme="minorHAnsi" w:cstheme="minorBidi"/>
          <w:color w:val="000000" w:themeColor="text1"/>
          <w:sz w:val="22"/>
          <w:szCs w:val="22"/>
        </w:rPr>
        <w:t xml:space="preserve">he environmental compliance capital, CCR ARO, and O&amp;M costs are recovered through the Environmental Compliance Cost Recovery (“ECCR”) tariff, established in the Georgia PSC’s final order in Docket 25060-U. </w:t>
      </w:r>
    </w:p>
    <w:p w14:paraId="6A72D220" w14:textId="4A49933C" w:rsidR="00887BE3" w:rsidRDefault="00887BE3" w:rsidP="00C942DB">
      <w:pPr>
        <w:spacing w:before="120" w:after="0" w:line="240" w:lineRule="auto"/>
        <w:rPr>
          <w:color w:val="000000" w:themeColor="text1"/>
        </w:rPr>
      </w:pPr>
      <w:r w:rsidRPr="00462738">
        <w:rPr>
          <w:color w:val="000000" w:themeColor="text1"/>
        </w:rPr>
        <w:t>The Company’s compliance strategy, including potential unit retirement and replacement decisions, and future environmental capital expenditures will be affected by the final requirements of any new or revised environmental statutes and regulations that are enacted, including the proposed environmental legislation and regulations described; the cost, availability, and existing inventory of emissions allowances; and the Company’s fuel mix.</w:t>
      </w:r>
      <w:r>
        <w:rPr>
          <w:color w:val="000000" w:themeColor="text1"/>
        </w:rPr>
        <w:t xml:space="preserve"> </w:t>
      </w:r>
    </w:p>
    <w:p w14:paraId="50DB302A" w14:textId="77777777" w:rsidR="00E31E38" w:rsidRDefault="00B909B4" w:rsidP="00E31E38">
      <w:pPr>
        <w:spacing w:before="120" w:after="0" w:line="240" w:lineRule="auto"/>
      </w:pPr>
      <w:r>
        <w:t>For CCR Asset Retirement Obligations (“ARO”), t</w:t>
      </w:r>
      <w:r w:rsidR="00432F9B" w:rsidRPr="6A44F22A">
        <w:t xml:space="preserve">he Company is required to adhere to Accounting Standards Codification (“ASC”) 410-20 (formerly Financial Accounting Standard No. 143 and </w:t>
      </w:r>
      <w:r w:rsidR="00432F9B">
        <w:t>Financial Accounting Standards Board (“</w:t>
      </w:r>
      <w:r w:rsidR="00432F9B" w:rsidRPr="6A44F22A">
        <w:t>FASB</w:t>
      </w:r>
      <w:r w:rsidR="00432F9B">
        <w:t>”)</w:t>
      </w:r>
      <w:r w:rsidR="00432F9B" w:rsidRPr="6A44F22A">
        <w:t xml:space="preserve"> Interpretation No. 47) which requires the Company to record the legal obligation associated with the retirement of a long-lived asset. In accordance with ASC 410-20, the Company records the estimated closure and post closure care costs of CCR ash ponds and landfills under the </w:t>
      </w:r>
      <w:r w:rsidR="000C7834">
        <w:t>F</w:t>
      </w:r>
      <w:r w:rsidR="00432F9B" w:rsidRPr="6A44F22A">
        <w:t xml:space="preserve">ederal and </w:t>
      </w:r>
      <w:r w:rsidR="0058238E">
        <w:t>Georgia</w:t>
      </w:r>
      <w:r w:rsidR="00432F9B" w:rsidRPr="6A44F22A">
        <w:t xml:space="preserve"> CCR Rules.</w:t>
      </w:r>
      <w:r w:rsidR="00432F9B" w:rsidRPr="3D2C2AF0">
        <w:t xml:space="preserve"> </w:t>
      </w:r>
      <w:r w:rsidR="00E31E38" w:rsidRPr="00D87150">
        <w:t xml:space="preserve">Georgia Power’s current </w:t>
      </w:r>
      <w:r w:rsidR="00E31E38">
        <w:t>cost estimate</w:t>
      </w:r>
      <w:r w:rsidR="00E31E38" w:rsidRPr="00D87150">
        <w:t xml:space="preserve"> applicable to retail customers for the CCR ARO program over the coming decades is approximately $7.</w:t>
      </w:r>
      <w:r w:rsidR="00E31E38">
        <w:t>4</w:t>
      </w:r>
      <w:r w:rsidR="00E31E38" w:rsidRPr="00D87150">
        <w:t xml:space="preserve"> billion, including </w:t>
      </w:r>
      <w:r w:rsidR="00E31E38">
        <w:t>approximately</w:t>
      </w:r>
      <w:r w:rsidR="00E31E38" w:rsidRPr="00D87150">
        <w:t xml:space="preserve"> $1.</w:t>
      </w:r>
      <w:r w:rsidR="00E31E38">
        <w:t>4 </w:t>
      </w:r>
      <w:r w:rsidR="00E31E38" w:rsidRPr="00D87150">
        <w:t xml:space="preserve">billion in actual costs previously incurred. </w:t>
      </w:r>
    </w:p>
    <w:p w14:paraId="4C6EE58B" w14:textId="2029F2DB" w:rsidR="00BC056F" w:rsidRDefault="00432F9B" w:rsidP="00BC056F">
      <w:pPr>
        <w:spacing w:before="120" w:after="0" w:line="240" w:lineRule="auto"/>
      </w:pPr>
      <w:r w:rsidRPr="005C05E9">
        <w:t xml:space="preserve">The Company will continue providing </w:t>
      </w:r>
      <w:r w:rsidR="00A02082">
        <w:t xml:space="preserve">CCR projects </w:t>
      </w:r>
      <w:r w:rsidRPr="005C05E9">
        <w:t xml:space="preserve">semi-annual progress and cost data updates to the Commission under Docket No. 43083. </w:t>
      </w:r>
      <w:r w:rsidRPr="005C05E9">
        <w:rPr>
          <w:rFonts w:eastAsia="Arial"/>
        </w:rPr>
        <w:t>As outlined in the Company’s CCR ARO Program Semi-Annual Program Status Report, the current forecasted spend for the CCR ARO program is the best estimate Georgia Power has at this time for this long-term compliance program spanning over approximately the next 60 years into the future.  The Company’s cost estimates are based on various assumptions related to closure and post-closure costs, timing of future cash outlays, inflation and discount rates, and the methods for complying with closure requirements. Georgia Power will continue to update its cost estimates and ARO liabilities periodically as additional information related to these assumptions becomes available</w:t>
      </w:r>
      <w:r w:rsidR="00091AE2">
        <w:t>.</w:t>
      </w:r>
    </w:p>
    <w:p w14:paraId="6179FC73" w14:textId="77777777" w:rsidR="00BA1AE6" w:rsidRDefault="00BA1AE6" w:rsidP="00BC056F">
      <w:pPr>
        <w:spacing w:before="120" w:after="0" w:line="240" w:lineRule="auto"/>
      </w:pPr>
    </w:p>
    <w:p w14:paraId="5F621246" w14:textId="02E8330E" w:rsidR="008031DB" w:rsidRPr="003D640E" w:rsidRDefault="008031DB" w:rsidP="006824B5">
      <w:pPr>
        <w:spacing w:before="120" w:after="0" w:line="240" w:lineRule="auto"/>
      </w:pPr>
    </w:p>
    <w:p w14:paraId="6CA43A0E" w14:textId="77777777" w:rsidR="00426FF5" w:rsidRDefault="00426FF5">
      <w:pPr>
        <w:jc w:val="left"/>
        <w:rPr>
          <w:rFonts w:asciiTheme="majorHAnsi" w:eastAsia="Arial" w:hAnsiTheme="majorHAnsi" w:cstheme="majorBidi"/>
          <w:b/>
          <w:bCs/>
          <w:color w:val="1F3864" w:themeColor="accent1" w:themeShade="80"/>
          <w:sz w:val="32"/>
          <w:szCs w:val="32"/>
        </w:rPr>
      </w:pPr>
      <w:bookmarkStart w:id="58" w:name="_Toc130201015"/>
      <w:r>
        <w:rPr>
          <w:rFonts w:eastAsia="Arial"/>
          <w:b/>
          <w:bCs/>
          <w:sz w:val="32"/>
          <w:szCs w:val="32"/>
        </w:rPr>
        <w:br w:type="page"/>
      </w:r>
    </w:p>
    <w:p w14:paraId="3D390C40" w14:textId="66D3F67E" w:rsidR="00432F9B" w:rsidRPr="00F77C78" w:rsidRDefault="00F77C78" w:rsidP="00504B58">
      <w:pPr>
        <w:pStyle w:val="Heading1"/>
        <w:spacing w:before="120" w:after="0"/>
        <w:rPr>
          <w:rFonts w:eastAsia="Arial"/>
          <w:b/>
          <w:bCs/>
          <w:sz w:val="32"/>
          <w:szCs w:val="32"/>
        </w:rPr>
      </w:pPr>
      <w:r>
        <w:rPr>
          <w:rFonts w:eastAsia="Arial"/>
          <w:b/>
          <w:bCs/>
          <w:sz w:val="32"/>
          <w:szCs w:val="32"/>
        </w:rPr>
        <w:lastRenderedPageBreak/>
        <w:t xml:space="preserve">ECS - </w:t>
      </w:r>
      <w:r w:rsidR="00714684" w:rsidRPr="00F77C78">
        <w:rPr>
          <w:rFonts w:eastAsia="Arial"/>
          <w:b/>
          <w:bCs/>
          <w:sz w:val="32"/>
          <w:szCs w:val="32"/>
        </w:rPr>
        <w:t xml:space="preserve">Appendix </w:t>
      </w:r>
      <w:r w:rsidRPr="00F77C78">
        <w:rPr>
          <w:rFonts w:eastAsia="Arial"/>
          <w:b/>
          <w:bCs/>
          <w:sz w:val="32"/>
          <w:szCs w:val="32"/>
        </w:rPr>
        <w:t xml:space="preserve">A </w:t>
      </w:r>
      <w:r w:rsidR="00714684" w:rsidRPr="00F77C78">
        <w:rPr>
          <w:rFonts w:eastAsia="Arial"/>
          <w:b/>
          <w:bCs/>
          <w:sz w:val="32"/>
          <w:szCs w:val="32"/>
        </w:rPr>
        <w:t xml:space="preserve">– </w:t>
      </w:r>
      <w:r w:rsidR="00162015" w:rsidRPr="00F77C78">
        <w:rPr>
          <w:rFonts w:eastAsia="Arial"/>
          <w:b/>
          <w:bCs/>
          <w:sz w:val="32"/>
          <w:szCs w:val="32"/>
        </w:rPr>
        <w:t>Monitored Regulations</w:t>
      </w:r>
      <w:bookmarkEnd w:id="58"/>
    </w:p>
    <w:p w14:paraId="5C4F53A1" w14:textId="17146192" w:rsidR="0081302B" w:rsidRPr="0081302B" w:rsidRDefault="0081302B" w:rsidP="00504B58">
      <w:pPr>
        <w:pStyle w:val="Heading4"/>
        <w:spacing w:before="120" w:line="240" w:lineRule="auto"/>
        <w:rPr>
          <w:sz w:val="22"/>
          <w:szCs w:val="22"/>
        </w:rPr>
      </w:pPr>
      <w:r>
        <w:rPr>
          <w:rStyle w:val="normaltextrun"/>
          <w:rFonts w:ascii="Calibri" w:hAnsi="Calibri" w:cs="Calibri"/>
          <w:color w:val="000000"/>
          <w:sz w:val="22"/>
          <w:szCs w:val="22"/>
          <w:bdr w:val="none" w:sz="0" w:space="0" w:color="auto" w:frame="1"/>
        </w:rPr>
        <w:t xml:space="preserve">In addition to the </w:t>
      </w:r>
      <w:r w:rsidR="00752AD7">
        <w:rPr>
          <w:rStyle w:val="normaltextrun"/>
          <w:rFonts w:ascii="Calibri" w:hAnsi="Calibri" w:cs="Calibri"/>
          <w:color w:val="000000"/>
          <w:sz w:val="22"/>
          <w:szCs w:val="22"/>
          <w:bdr w:val="none" w:sz="0" w:space="0" w:color="auto" w:frame="1"/>
        </w:rPr>
        <w:t xml:space="preserve">environmental legislation, regulation, policy, and permitting discussed in the ECS, the Company continues to monitor various environmental compliance topics </w:t>
      </w:r>
      <w:r w:rsidR="007350C4">
        <w:rPr>
          <w:rStyle w:val="normaltextrun"/>
          <w:rFonts w:ascii="Calibri" w:hAnsi="Calibri" w:cs="Calibri"/>
          <w:color w:val="000000"/>
          <w:sz w:val="22"/>
          <w:szCs w:val="22"/>
          <w:bdr w:val="none" w:sz="0" w:space="0" w:color="auto" w:frame="1"/>
        </w:rPr>
        <w:t xml:space="preserve">for </w:t>
      </w:r>
      <w:r w:rsidR="00217559">
        <w:rPr>
          <w:rStyle w:val="normaltextrun"/>
          <w:rFonts w:ascii="Calibri" w:hAnsi="Calibri" w:cs="Calibri"/>
          <w:color w:val="000000"/>
          <w:sz w:val="22"/>
          <w:szCs w:val="22"/>
          <w:bdr w:val="none" w:sz="0" w:space="0" w:color="auto" w:frame="1"/>
        </w:rPr>
        <w:t xml:space="preserve">any impacts to </w:t>
      </w:r>
      <w:r w:rsidR="007350C4">
        <w:rPr>
          <w:rStyle w:val="normaltextrun"/>
          <w:rFonts w:ascii="Calibri" w:hAnsi="Calibri" w:cs="Calibri"/>
          <w:color w:val="000000"/>
          <w:sz w:val="22"/>
          <w:szCs w:val="22"/>
          <w:bdr w:val="none" w:sz="0" w:space="0" w:color="auto" w:frame="1"/>
        </w:rPr>
        <w:t xml:space="preserve">the compliance strategy. </w:t>
      </w:r>
      <w:r w:rsidR="003F3E50">
        <w:rPr>
          <w:rStyle w:val="normaltextrun"/>
          <w:rFonts w:ascii="Calibri" w:hAnsi="Calibri" w:cs="Calibri"/>
          <w:color w:val="000000"/>
          <w:sz w:val="22"/>
          <w:szCs w:val="22"/>
          <w:bdr w:val="none" w:sz="0" w:space="0" w:color="auto" w:frame="1"/>
        </w:rPr>
        <w:t xml:space="preserve">Examples of </w:t>
      </w:r>
      <w:r w:rsidR="007350C4">
        <w:rPr>
          <w:rStyle w:val="normaltextrun"/>
          <w:rFonts w:ascii="Calibri" w:hAnsi="Calibri" w:cs="Calibri"/>
          <w:color w:val="000000"/>
          <w:sz w:val="22"/>
          <w:szCs w:val="22"/>
          <w:bdr w:val="none" w:sz="0" w:space="0" w:color="auto" w:frame="1"/>
        </w:rPr>
        <w:t>monitored regulations are listed below:</w:t>
      </w:r>
    </w:p>
    <w:p w14:paraId="047F5394" w14:textId="48320149" w:rsidR="00460DA9" w:rsidRDefault="00460DA9" w:rsidP="00504B58">
      <w:pPr>
        <w:pStyle w:val="Heading4"/>
        <w:spacing w:before="120" w:line="240" w:lineRule="auto"/>
      </w:pPr>
      <w:r>
        <w:t>CAA – Industrial Boiler MACT</w:t>
      </w:r>
    </w:p>
    <w:p w14:paraId="55DFCD64" w14:textId="07E4A708" w:rsidR="00E03C15" w:rsidRPr="00E03C15" w:rsidRDefault="00E03C15" w:rsidP="00504B58">
      <w:pPr>
        <w:spacing w:before="120" w:after="0" w:line="240" w:lineRule="auto"/>
        <w:rPr>
          <w:rStyle w:val="normaltextrun"/>
          <w:rFonts w:ascii="Calibri" w:hAnsi="Calibri" w:cs="Calibri"/>
          <w:color w:val="000000"/>
          <w:bdr w:val="none" w:sz="0" w:space="0" w:color="auto" w:frame="1"/>
        </w:rPr>
      </w:pPr>
      <w:r>
        <w:rPr>
          <w:rStyle w:val="normaltextrun"/>
          <w:rFonts w:ascii="Calibri" w:hAnsi="Calibri" w:cs="Calibri"/>
          <w:color w:val="000000"/>
          <w:bdr w:val="none" w:sz="0" w:space="0" w:color="auto" w:frame="1"/>
        </w:rPr>
        <w:t xml:space="preserve">In October </w:t>
      </w:r>
      <w:r w:rsidRPr="00E03C15">
        <w:rPr>
          <w:rStyle w:val="normaltextrun"/>
          <w:rFonts w:ascii="Calibri" w:hAnsi="Calibri" w:cs="Calibri"/>
          <w:color w:val="000000"/>
          <w:bdr w:val="none" w:sz="0" w:space="0" w:color="auto" w:frame="1"/>
        </w:rPr>
        <w:t xml:space="preserve">2022, EPA </w:t>
      </w:r>
      <w:r>
        <w:rPr>
          <w:rStyle w:val="normaltextrun"/>
          <w:rFonts w:ascii="Calibri" w:hAnsi="Calibri" w:cs="Calibri"/>
          <w:color w:val="000000"/>
          <w:bdr w:val="none" w:sz="0" w:space="0" w:color="auto" w:frame="1"/>
        </w:rPr>
        <w:t>finalized amendments to the Industrial Boiler MACT rule</w:t>
      </w:r>
      <w:r w:rsidR="00343578">
        <w:rPr>
          <w:rStyle w:val="normaltextrun"/>
          <w:rFonts w:ascii="Calibri" w:hAnsi="Calibri" w:cs="Calibri"/>
          <w:color w:val="000000"/>
          <w:bdr w:val="none" w:sz="0" w:space="0" w:color="auto" w:frame="1"/>
        </w:rPr>
        <w:t xml:space="preserve"> in response to a remand of certain requirements by the D.C. Circuit Court</w:t>
      </w:r>
      <w:r>
        <w:rPr>
          <w:rStyle w:val="normaltextrun"/>
          <w:rFonts w:ascii="Calibri" w:hAnsi="Calibri" w:cs="Calibri"/>
          <w:color w:val="000000"/>
          <w:bdr w:val="none" w:sz="0" w:space="0" w:color="auto" w:frame="1"/>
        </w:rPr>
        <w:t xml:space="preserve">. </w:t>
      </w:r>
      <w:r w:rsidR="00E5466A">
        <w:rPr>
          <w:rStyle w:val="normaltextrun"/>
          <w:rFonts w:ascii="Calibri" w:hAnsi="Calibri" w:cs="Calibri"/>
          <w:color w:val="000000"/>
          <w:bdr w:val="none" w:sz="0" w:space="0" w:color="auto" w:frame="1"/>
        </w:rPr>
        <w:t xml:space="preserve">The changes did not affect any Company generating units and no changes to the ECS are required. </w:t>
      </w:r>
    </w:p>
    <w:p w14:paraId="171F7E74" w14:textId="67307AFF" w:rsidR="00460DA9" w:rsidRDefault="00460DA9" w:rsidP="00504B58">
      <w:pPr>
        <w:pStyle w:val="Heading4"/>
        <w:spacing w:before="120" w:line="240" w:lineRule="auto"/>
      </w:pPr>
      <w:r>
        <w:t>CAA – Reciprocating Internal Combustion Engines MACT</w:t>
      </w:r>
    </w:p>
    <w:p w14:paraId="6681103D" w14:textId="4DBC993C" w:rsidR="00E5466A" w:rsidRPr="00E03C15" w:rsidRDefault="00564A98" w:rsidP="00504B58">
      <w:pPr>
        <w:spacing w:before="120" w:after="0" w:line="240" w:lineRule="auto"/>
        <w:rPr>
          <w:rStyle w:val="normaltextrun"/>
          <w:rFonts w:ascii="Calibri" w:hAnsi="Calibri" w:cs="Calibri"/>
          <w:color w:val="000000"/>
          <w:bdr w:val="none" w:sz="0" w:space="0" w:color="auto" w:frame="1"/>
        </w:rPr>
      </w:pPr>
      <w:r>
        <w:rPr>
          <w:rStyle w:val="normaltextrun"/>
          <w:rFonts w:ascii="Calibri" w:hAnsi="Calibri" w:cs="Calibri"/>
          <w:color w:val="000000"/>
          <w:bdr w:val="none" w:sz="0" w:space="0" w:color="auto" w:frame="1"/>
        </w:rPr>
        <w:t xml:space="preserve">In June 2023, </w:t>
      </w:r>
      <w:r w:rsidR="00124292" w:rsidRPr="00124292">
        <w:rPr>
          <w:rStyle w:val="normaltextrun"/>
          <w:rFonts w:ascii="Calibri" w:hAnsi="Calibri" w:cs="Calibri"/>
          <w:color w:val="000000"/>
          <w:bdr w:val="none" w:sz="0" w:space="0" w:color="auto" w:frame="1"/>
        </w:rPr>
        <w:t xml:space="preserve">EPA </w:t>
      </w:r>
      <w:r>
        <w:rPr>
          <w:rStyle w:val="normaltextrun"/>
          <w:rFonts w:ascii="Calibri" w:hAnsi="Calibri" w:cs="Calibri"/>
          <w:color w:val="000000"/>
          <w:bdr w:val="none" w:sz="0" w:space="0" w:color="auto" w:frame="1"/>
        </w:rPr>
        <w:t xml:space="preserve">proposed to update the RICE MACT rule </w:t>
      </w:r>
      <w:r w:rsidR="00124292" w:rsidRPr="00124292">
        <w:rPr>
          <w:rStyle w:val="normaltextrun"/>
          <w:rFonts w:ascii="Calibri" w:hAnsi="Calibri" w:cs="Calibri"/>
          <w:color w:val="000000"/>
          <w:bdr w:val="none" w:sz="0" w:space="0" w:color="auto" w:frame="1"/>
        </w:rPr>
        <w:t>to add electronic reporting requirements</w:t>
      </w:r>
      <w:r>
        <w:rPr>
          <w:rStyle w:val="normaltextrun"/>
          <w:rFonts w:ascii="Calibri" w:hAnsi="Calibri" w:cs="Calibri"/>
          <w:color w:val="000000"/>
          <w:bdr w:val="none" w:sz="0" w:space="0" w:color="auto" w:frame="1"/>
        </w:rPr>
        <w:t xml:space="preserve"> and solicited comments</w:t>
      </w:r>
      <w:r w:rsidR="004E193F">
        <w:rPr>
          <w:rStyle w:val="normaltextrun"/>
          <w:rFonts w:ascii="Calibri" w:hAnsi="Calibri" w:cs="Calibri"/>
          <w:color w:val="000000"/>
          <w:bdr w:val="none" w:sz="0" w:space="0" w:color="auto" w:frame="1"/>
        </w:rPr>
        <w:t xml:space="preserve"> on </w:t>
      </w:r>
      <w:r w:rsidR="004E193F" w:rsidRPr="004E193F">
        <w:rPr>
          <w:rStyle w:val="normaltextrun"/>
          <w:rFonts w:ascii="Calibri" w:hAnsi="Calibri" w:cs="Calibri"/>
          <w:color w:val="000000"/>
          <w:bdr w:val="none" w:sz="0" w:space="0" w:color="auto" w:frame="1"/>
        </w:rPr>
        <w:t>the provisions specifying that emergency engines can operate for up to 50 hours per year to mitigate local transmission and/ or distribution limitations to avert potential voltage collapse or line overloads that could lead to the interruption of power supply in a local area or region</w:t>
      </w:r>
      <w:r w:rsidR="00E5466A">
        <w:rPr>
          <w:rStyle w:val="normaltextrun"/>
          <w:rFonts w:ascii="Calibri" w:hAnsi="Calibri" w:cs="Calibri"/>
          <w:color w:val="000000"/>
          <w:bdr w:val="none" w:sz="0" w:space="0" w:color="auto" w:frame="1"/>
        </w:rPr>
        <w:t xml:space="preserve">. </w:t>
      </w:r>
    </w:p>
    <w:p w14:paraId="1BDF089E" w14:textId="03672864" w:rsidR="00CC7EE1" w:rsidRDefault="00CC7EE1" w:rsidP="00504B58">
      <w:pPr>
        <w:pStyle w:val="Heading4"/>
        <w:spacing w:before="120" w:line="240" w:lineRule="auto"/>
      </w:pPr>
      <w:r>
        <w:t xml:space="preserve">CAA – New Source Performance Standards </w:t>
      </w:r>
    </w:p>
    <w:p w14:paraId="3CF708CB" w14:textId="574F68F7" w:rsidR="00B963A2" w:rsidRDefault="00B963A2" w:rsidP="00504B58">
      <w:pPr>
        <w:spacing w:before="120" w:after="0" w:line="240" w:lineRule="auto"/>
        <w:rPr>
          <w:rStyle w:val="normaltextrun"/>
          <w:rFonts w:ascii="Calibri" w:hAnsi="Calibri" w:cs="Calibri"/>
          <w:color w:val="000000"/>
          <w:bdr w:val="none" w:sz="0" w:space="0" w:color="auto" w:frame="1"/>
        </w:rPr>
      </w:pPr>
      <w:r>
        <w:rPr>
          <w:rStyle w:val="normaltextrun"/>
          <w:rFonts w:ascii="Calibri" w:hAnsi="Calibri" w:cs="Calibri"/>
          <w:color w:val="000000"/>
          <w:bdr w:val="none" w:sz="0" w:space="0" w:color="auto" w:frame="1"/>
        </w:rPr>
        <w:t xml:space="preserve">In </w:t>
      </w:r>
      <w:r w:rsidRPr="00B963A2">
        <w:rPr>
          <w:rStyle w:val="normaltextrun"/>
          <w:rFonts w:ascii="Calibri" w:hAnsi="Calibri" w:cs="Calibri"/>
          <w:color w:val="000000"/>
          <w:bdr w:val="none" w:sz="0" w:space="0" w:color="auto" w:frame="1"/>
        </w:rPr>
        <w:t>September 2022, a coalition of 17 environmental groups submitted a petition for rulemaking to EPA to eliminate startup, shutdown, malfunction and/or maintenance exemptions under the New Source Performance Standards (NSPS).</w:t>
      </w:r>
      <w:r w:rsidR="00953563">
        <w:rPr>
          <w:rStyle w:val="normaltextrun"/>
          <w:rFonts w:ascii="Calibri" w:hAnsi="Calibri" w:cs="Calibri"/>
          <w:color w:val="000000"/>
          <w:bdr w:val="none" w:sz="0" w:space="0" w:color="auto" w:frame="1"/>
        </w:rPr>
        <w:t xml:space="preserve"> </w:t>
      </w:r>
    </w:p>
    <w:p w14:paraId="70478FA7" w14:textId="1D4CAB85" w:rsidR="00F567E5" w:rsidRDefault="00CF184A" w:rsidP="00504B58">
      <w:pPr>
        <w:pStyle w:val="Heading4"/>
        <w:spacing w:before="120" w:line="240" w:lineRule="auto"/>
      </w:pPr>
      <w:r>
        <w:t xml:space="preserve">CAA </w:t>
      </w:r>
      <w:r w:rsidR="00460DA9">
        <w:t xml:space="preserve">– </w:t>
      </w:r>
      <w:r w:rsidR="00F567E5">
        <w:t>Other NAAQS (40 CFR 50)</w:t>
      </w:r>
    </w:p>
    <w:p w14:paraId="5890B325" w14:textId="1D7063F4" w:rsidR="00CF184A" w:rsidRDefault="00CF184A" w:rsidP="00DA4101">
      <w:pPr>
        <w:spacing w:before="120" w:after="0"/>
      </w:pPr>
      <w:r>
        <w:t xml:space="preserve">In addition to ozone and particulate matter, </w:t>
      </w:r>
      <w:r w:rsidR="00F567E5">
        <w:t xml:space="preserve">EPA also sets NAAQS for SO2, NO2, lead, and carbon monoxide. However, the most recent revisions to any of these standards occurred in 2010 or earlier and subsequent reviews completed by EPA resulted in no changes. Implementation of </w:t>
      </w:r>
      <w:r w:rsidR="00343578">
        <w:t xml:space="preserve">current </w:t>
      </w:r>
      <w:r w:rsidR="00F567E5">
        <w:t>standards is complete with no areas in Georgia or Alabama designated as nonattainment.</w:t>
      </w:r>
      <w:r w:rsidR="00B07D8A">
        <w:t xml:space="preserve"> In 2024, EPA </w:t>
      </w:r>
      <w:r w:rsidR="00104BFB">
        <w:t xml:space="preserve">is under a consent decree schedule </w:t>
      </w:r>
      <w:r w:rsidR="00EF4F83">
        <w:t>to issue a proposed rule on secondary NAAQS for NO</w:t>
      </w:r>
      <w:r w:rsidR="00DA4101">
        <w:t>2</w:t>
      </w:r>
      <w:r w:rsidR="00EF4F83">
        <w:t xml:space="preserve"> and S</w:t>
      </w:r>
      <w:r w:rsidR="00DA4101">
        <w:t>O2</w:t>
      </w:r>
      <w:r w:rsidR="00EF4F83">
        <w:t>, as well as the secondary NAAQS for ecological effects for PM by April 9, 2024</w:t>
      </w:r>
      <w:r w:rsidR="00DA4101">
        <w:t>,</w:t>
      </w:r>
      <w:r w:rsidR="00EF4F83">
        <w:t xml:space="preserve"> and a final rule by December 10, 2024. </w:t>
      </w:r>
    </w:p>
    <w:p w14:paraId="1BFF2AA2" w14:textId="77777777" w:rsidR="00504B58" w:rsidRDefault="000C380D" w:rsidP="00504B58">
      <w:pPr>
        <w:pStyle w:val="Heading4"/>
        <w:spacing w:before="120" w:line="240" w:lineRule="auto"/>
      </w:pPr>
      <w:r>
        <w:t>CAA – RMP</w:t>
      </w:r>
    </w:p>
    <w:p w14:paraId="4E209B54" w14:textId="47B6B81E" w:rsidR="000C380D" w:rsidRPr="00504B58" w:rsidRDefault="00C0633F" w:rsidP="00504B58">
      <w:pPr>
        <w:pStyle w:val="Heading4"/>
        <w:spacing w:before="120" w:line="240" w:lineRule="auto"/>
        <w:rPr>
          <w:rFonts w:asciiTheme="minorHAnsi" w:eastAsiaTheme="minorEastAsia" w:hAnsiTheme="minorHAnsi" w:cstheme="minorBidi"/>
          <w:color w:val="auto"/>
          <w:sz w:val="22"/>
          <w:szCs w:val="22"/>
        </w:rPr>
      </w:pPr>
      <w:r w:rsidRPr="00504B58">
        <w:rPr>
          <w:rFonts w:asciiTheme="minorHAnsi" w:eastAsiaTheme="minorEastAsia" w:hAnsiTheme="minorHAnsi" w:cstheme="minorBidi"/>
          <w:color w:val="auto"/>
          <w:sz w:val="22"/>
          <w:szCs w:val="22"/>
        </w:rPr>
        <w:t>EPA finalize</w:t>
      </w:r>
      <w:r w:rsidR="004D3D0B">
        <w:rPr>
          <w:rFonts w:asciiTheme="minorHAnsi" w:eastAsiaTheme="minorEastAsia" w:hAnsiTheme="minorHAnsi" w:cstheme="minorBidi"/>
          <w:color w:val="auto"/>
          <w:sz w:val="22"/>
          <w:szCs w:val="22"/>
        </w:rPr>
        <w:t>d</w:t>
      </w:r>
      <w:r w:rsidRPr="00504B58">
        <w:rPr>
          <w:rFonts w:asciiTheme="minorHAnsi" w:eastAsiaTheme="minorEastAsia" w:hAnsiTheme="minorHAnsi" w:cstheme="minorBidi"/>
          <w:color w:val="auto"/>
          <w:sz w:val="22"/>
          <w:szCs w:val="22"/>
        </w:rPr>
        <w:t xml:space="preserve"> revisions in 202</w:t>
      </w:r>
      <w:r w:rsidR="0004128E">
        <w:rPr>
          <w:rFonts w:asciiTheme="minorHAnsi" w:eastAsiaTheme="minorEastAsia" w:hAnsiTheme="minorHAnsi" w:cstheme="minorBidi"/>
          <w:color w:val="auto"/>
          <w:sz w:val="22"/>
          <w:szCs w:val="22"/>
        </w:rPr>
        <w:t>4</w:t>
      </w:r>
      <w:r w:rsidRPr="00504B58">
        <w:rPr>
          <w:rFonts w:asciiTheme="minorHAnsi" w:eastAsiaTheme="minorEastAsia" w:hAnsiTheme="minorHAnsi" w:cstheme="minorBidi"/>
          <w:color w:val="auto"/>
          <w:sz w:val="22"/>
          <w:szCs w:val="22"/>
        </w:rPr>
        <w:t xml:space="preserve"> to the Risk Management Program (“RMP”) requirements for highly hazardous chemicals, reversing </w:t>
      </w:r>
      <w:r w:rsidR="00BD1777" w:rsidRPr="00504B58">
        <w:rPr>
          <w:rFonts w:asciiTheme="minorHAnsi" w:eastAsiaTheme="minorEastAsia" w:hAnsiTheme="minorHAnsi" w:cstheme="minorBidi"/>
          <w:color w:val="auto"/>
          <w:sz w:val="22"/>
          <w:szCs w:val="22"/>
        </w:rPr>
        <w:t>actions taken with a 2019 RMP reconsideration rule</w:t>
      </w:r>
      <w:r w:rsidRPr="00504B58">
        <w:rPr>
          <w:rFonts w:asciiTheme="minorHAnsi" w:eastAsiaTheme="minorEastAsia" w:hAnsiTheme="minorHAnsi" w:cstheme="minorBidi"/>
          <w:color w:val="auto"/>
          <w:sz w:val="22"/>
          <w:szCs w:val="22"/>
        </w:rPr>
        <w:t xml:space="preserve">. </w:t>
      </w:r>
    </w:p>
    <w:p w14:paraId="74FA6CA8" w14:textId="44EC19C0" w:rsidR="000C380D" w:rsidRDefault="000C380D" w:rsidP="00504B58">
      <w:pPr>
        <w:pStyle w:val="Heading4"/>
        <w:spacing w:before="120" w:line="240" w:lineRule="auto"/>
      </w:pPr>
      <w:bookmarkStart w:id="59" w:name="_Toc126509243"/>
      <w:r>
        <w:t xml:space="preserve">CAA – </w:t>
      </w:r>
      <w:r w:rsidR="005B5489">
        <w:t xml:space="preserve">HFC </w:t>
      </w:r>
      <w:r>
        <w:t>Refrigerants</w:t>
      </w:r>
    </w:p>
    <w:p w14:paraId="4E431BFA" w14:textId="5C24A2C8" w:rsidR="000C380D" w:rsidRDefault="005B5489" w:rsidP="00504B58">
      <w:pPr>
        <w:spacing w:before="120" w:after="0" w:line="240" w:lineRule="auto"/>
      </w:pPr>
      <w:r>
        <w:t xml:space="preserve">EPA continues to implement the </w:t>
      </w:r>
      <w:r w:rsidR="00607CFC">
        <w:t xml:space="preserve">hydrofluorocarbon </w:t>
      </w:r>
      <w:r w:rsidR="00EA520C">
        <w:t xml:space="preserve">(“HFC”) </w:t>
      </w:r>
      <w:r w:rsidR="00607CFC">
        <w:t xml:space="preserve">refrigerants phase down mandated by Congress </w:t>
      </w:r>
      <w:r w:rsidR="000E63B3">
        <w:t>in 2020</w:t>
      </w:r>
      <w:r w:rsidR="00EA520C">
        <w:t>, due to the global warming potential of HFCs</w:t>
      </w:r>
      <w:r w:rsidR="000E63B3">
        <w:t xml:space="preserve">. </w:t>
      </w:r>
    </w:p>
    <w:p w14:paraId="4235890E" w14:textId="406AC950" w:rsidR="00CF184A" w:rsidRPr="00CF184A" w:rsidRDefault="00CF184A" w:rsidP="00504B58">
      <w:pPr>
        <w:pStyle w:val="Heading3"/>
        <w:spacing w:before="120"/>
        <w:rPr>
          <w:sz w:val="24"/>
          <w:szCs w:val="24"/>
        </w:rPr>
      </w:pPr>
      <w:bookmarkStart w:id="60" w:name="_Toc126515068"/>
      <w:bookmarkStart w:id="61" w:name="_Toc126593839"/>
      <w:bookmarkStart w:id="62" w:name="_Toc130201016"/>
      <w:r w:rsidRPr="00CF184A">
        <w:rPr>
          <w:sz w:val="24"/>
          <w:szCs w:val="24"/>
        </w:rPr>
        <w:t xml:space="preserve">CWA </w:t>
      </w:r>
      <w:r w:rsidR="00460DA9">
        <w:t xml:space="preserve">– </w:t>
      </w:r>
      <w:r w:rsidRPr="00CF184A">
        <w:rPr>
          <w:sz w:val="24"/>
          <w:szCs w:val="24"/>
        </w:rPr>
        <w:t xml:space="preserve">Section 401 </w:t>
      </w:r>
      <w:r w:rsidR="000B3E44">
        <w:rPr>
          <w:sz w:val="24"/>
          <w:szCs w:val="24"/>
        </w:rPr>
        <w:t xml:space="preserve">Water Quality </w:t>
      </w:r>
      <w:r w:rsidRPr="00CF184A">
        <w:rPr>
          <w:sz w:val="24"/>
          <w:szCs w:val="24"/>
        </w:rPr>
        <w:t>Certifications</w:t>
      </w:r>
      <w:bookmarkEnd w:id="59"/>
      <w:bookmarkEnd w:id="60"/>
      <w:bookmarkEnd w:id="61"/>
      <w:bookmarkEnd w:id="62"/>
      <w:r w:rsidRPr="00CF184A">
        <w:rPr>
          <w:sz w:val="24"/>
          <w:szCs w:val="24"/>
        </w:rPr>
        <w:t xml:space="preserve"> </w:t>
      </w:r>
    </w:p>
    <w:p w14:paraId="5E0E8F6B" w14:textId="63716AB6" w:rsidR="00CF184A" w:rsidRDefault="00287136" w:rsidP="00504B58">
      <w:pPr>
        <w:spacing w:before="120" w:after="0" w:line="240" w:lineRule="auto"/>
      </w:pPr>
      <w:r>
        <w:t xml:space="preserve">In September 2023, EPA finalized the </w:t>
      </w:r>
      <w:r w:rsidR="00A23FF6" w:rsidRPr="00A23FF6">
        <w:t xml:space="preserve">Water Quality Certification Improvement Rule </w:t>
      </w:r>
      <w:r w:rsidR="001B70BE">
        <w:t xml:space="preserve">related to </w:t>
      </w:r>
      <w:r w:rsidR="00CF184A" w:rsidRPr="00502A2A">
        <w:t>obtain</w:t>
      </w:r>
      <w:r w:rsidR="001B70BE">
        <w:t>ing</w:t>
      </w:r>
      <w:r w:rsidR="00CF184A" w:rsidRPr="00502A2A">
        <w:t xml:space="preserve"> permits or licenses for any discharge into waters of the United States</w:t>
      </w:r>
      <w:r w:rsidR="001B70BE">
        <w:t xml:space="preserve"> through </w:t>
      </w:r>
      <w:r w:rsidR="00CF184A" w:rsidRPr="00502A2A">
        <w:t>CWA Section 401</w:t>
      </w:r>
      <w:r w:rsidR="001B70BE">
        <w:t>, which</w:t>
      </w:r>
      <w:r w:rsidR="00CF184A" w:rsidRPr="00502A2A">
        <w:t xml:space="preserve"> gives states authority </w:t>
      </w:r>
      <w:r w:rsidR="00831632">
        <w:t xml:space="preserve">over </w:t>
      </w:r>
      <w:r w:rsidR="00CF184A" w:rsidRPr="00502A2A">
        <w:t>discharge</w:t>
      </w:r>
      <w:r w:rsidR="00831632">
        <w:t>s that</w:t>
      </w:r>
      <w:r w:rsidR="00CF184A" w:rsidRPr="00502A2A">
        <w:t xml:space="preserve"> do not comply with existing state water quality requirements.</w:t>
      </w:r>
      <w:r w:rsidR="00CF184A">
        <w:t xml:space="preserve"> </w:t>
      </w:r>
    </w:p>
    <w:p w14:paraId="092A22C4" w14:textId="75308460" w:rsidR="00FF71A4" w:rsidRPr="009A31F0" w:rsidRDefault="00FF71A4" w:rsidP="00504B58">
      <w:pPr>
        <w:pStyle w:val="Heading3"/>
        <w:spacing w:before="120"/>
        <w:rPr>
          <w:rFonts w:eastAsiaTheme="minorEastAsia"/>
          <w:color w:val="000000" w:themeColor="text1"/>
        </w:rPr>
      </w:pPr>
      <w:bookmarkStart w:id="63" w:name="_Toc126515069"/>
      <w:bookmarkStart w:id="64" w:name="_Toc126593840"/>
      <w:bookmarkStart w:id="65" w:name="_Toc130201017"/>
      <w:r>
        <w:rPr>
          <w:sz w:val="24"/>
          <w:szCs w:val="24"/>
        </w:rPr>
        <w:t>CWA – Nationwide Permit</w:t>
      </w:r>
      <w:bookmarkEnd w:id="63"/>
      <w:bookmarkEnd w:id="64"/>
      <w:bookmarkEnd w:id="65"/>
    </w:p>
    <w:p w14:paraId="64F38DBE" w14:textId="75CCE35D" w:rsidR="00FF71A4" w:rsidRDefault="00FF71A4" w:rsidP="00504B58">
      <w:pPr>
        <w:spacing w:before="120" w:after="0" w:line="240" w:lineRule="auto"/>
      </w:pPr>
      <w:r w:rsidRPr="4149E082">
        <w:t>N</w:t>
      </w:r>
      <w:r w:rsidR="008C47CC">
        <w:t>ationwide Permits (“NWP”)</w:t>
      </w:r>
      <w:r w:rsidRPr="4149E082">
        <w:t xml:space="preserve"> authoriz</w:t>
      </w:r>
      <w:r>
        <w:t>e</w:t>
      </w:r>
      <w:r w:rsidRPr="4149E082">
        <w:t xml:space="preserve"> certain activities with minimal impact to a WOTUS, allowing projects to move forward without receiving an individual review under CWA </w:t>
      </w:r>
      <w:r w:rsidR="004E09AF">
        <w:t>S</w:t>
      </w:r>
      <w:r w:rsidRPr="4149E082">
        <w:t xml:space="preserve">ection 404. </w:t>
      </w:r>
      <w:r w:rsidR="00E2244A">
        <w:t xml:space="preserve">The USACE recently completed update or reissuance of the NWP program requirements. </w:t>
      </w:r>
    </w:p>
    <w:p w14:paraId="12197FF0" w14:textId="78E19489" w:rsidR="00202664" w:rsidRPr="009A31F0" w:rsidRDefault="00202664" w:rsidP="00504B58">
      <w:pPr>
        <w:pStyle w:val="Heading3"/>
        <w:spacing w:before="120"/>
        <w:rPr>
          <w:rFonts w:eastAsiaTheme="minorEastAsia"/>
          <w:color w:val="000000" w:themeColor="text1"/>
        </w:rPr>
      </w:pPr>
      <w:bookmarkStart w:id="66" w:name="_Toc126593841"/>
      <w:bookmarkStart w:id="67" w:name="_Toc130201018"/>
      <w:r>
        <w:rPr>
          <w:sz w:val="24"/>
          <w:szCs w:val="24"/>
        </w:rPr>
        <w:lastRenderedPageBreak/>
        <w:t>CWA – Hazardous Discharges Planning</w:t>
      </w:r>
      <w:bookmarkEnd w:id="66"/>
      <w:bookmarkEnd w:id="67"/>
    </w:p>
    <w:p w14:paraId="5CFF3065" w14:textId="07FBDDB3" w:rsidR="005644C7" w:rsidRDefault="00831632" w:rsidP="00504B58">
      <w:pPr>
        <w:spacing w:before="120" w:after="0" w:line="240" w:lineRule="auto"/>
        <w:rPr>
          <w:rStyle w:val="normaltextrun"/>
          <w:rFonts w:ascii="Calibri" w:hAnsi="Calibri" w:cs="Calibri"/>
          <w:color w:val="000000"/>
          <w:bdr w:val="none" w:sz="0" w:space="0" w:color="auto" w:frame="1"/>
        </w:rPr>
      </w:pPr>
      <w:r>
        <w:rPr>
          <w:rStyle w:val="normaltextrun"/>
          <w:rFonts w:ascii="Calibri" w:hAnsi="Calibri" w:cs="Calibri"/>
          <w:color w:val="000000"/>
          <w:bdr w:val="none" w:sz="0" w:space="0" w:color="auto" w:frame="1"/>
        </w:rPr>
        <w:t xml:space="preserve">In </w:t>
      </w:r>
      <w:r w:rsidR="005644C7" w:rsidRPr="00202664">
        <w:rPr>
          <w:rStyle w:val="normaltextrun"/>
          <w:rFonts w:ascii="Calibri" w:hAnsi="Calibri" w:cs="Calibri"/>
          <w:color w:val="000000"/>
          <w:bdr w:val="none" w:sz="0" w:space="0" w:color="auto" w:frame="1"/>
        </w:rPr>
        <w:t>March 202</w:t>
      </w:r>
      <w:r w:rsidR="004D3D0B">
        <w:rPr>
          <w:rStyle w:val="normaltextrun"/>
          <w:rFonts w:ascii="Calibri" w:hAnsi="Calibri" w:cs="Calibri"/>
          <w:color w:val="000000"/>
          <w:bdr w:val="none" w:sz="0" w:space="0" w:color="auto" w:frame="1"/>
        </w:rPr>
        <w:t>4</w:t>
      </w:r>
      <w:r w:rsidR="005644C7" w:rsidRPr="00202664">
        <w:rPr>
          <w:rStyle w:val="normaltextrun"/>
          <w:rFonts w:ascii="Calibri" w:hAnsi="Calibri" w:cs="Calibri"/>
          <w:color w:val="000000"/>
          <w:bdr w:val="none" w:sz="0" w:space="0" w:color="auto" w:frame="1"/>
        </w:rPr>
        <w:t xml:space="preserve">, EPA </w:t>
      </w:r>
      <w:r w:rsidR="004D3D0B">
        <w:rPr>
          <w:rStyle w:val="normaltextrun"/>
          <w:rFonts w:ascii="Calibri" w:hAnsi="Calibri" w:cs="Calibri"/>
          <w:color w:val="000000"/>
          <w:bdr w:val="none" w:sz="0" w:space="0" w:color="auto" w:frame="1"/>
        </w:rPr>
        <w:t xml:space="preserve">signed </w:t>
      </w:r>
      <w:r w:rsidR="005644C7" w:rsidRPr="00202664">
        <w:rPr>
          <w:rStyle w:val="normaltextrun"/>
          <w:rFonts w:ascii="Calibri" w:hAnsi="Calibri" w:cs="Calibri"/>
          <w:color w:val="000000"/>
          <w:bdr w:val="none" w:sz="0" w:space="0" w:color="auto" w:frame="1"/>
        </w:rPr>
        <w:t xml:space="preserve">a </w:t>
      </w:r>
      <w:r w:rsidR="004D3D0B">
        <w:rPr>
          <w:rStyle w:val="normaltextrun"/>
          <w:rFonts w:ascii="Calibri" w:hAnsi="Calibri" w:cs="Calibri"/>
          <w:color w:val="000000"/>
          <w:bdr w:val="none" w:sz="0" w:space="0" w:color="auto" w:frame="1"/>
        </w:rPr>
        <w:t xml:space="preserve">final </w:t>
      </w:r>
      <w:r w:rsidR="005644C7" w:rsidRPr="00202664">
        <w:rPr>
          <w:rStyle w:val="normaltextrun"/>
          <w:rFonts w:ascii="Calibri" w:hAnsi="Calibri" w:cs="Calibri"/>
          <w:color w:val="000000"/>
          <w:bdr w:val="none" w:sz="0" w:space="0" w:color="auto" w:frame="1"/>
        </w:rPr>
        <w:t xml:space="preserve">rule in response to a consent decree between EPA and environmental groups </w:t>
      </w:r>
      <w:r w:rsidR="004D3D0B">
        <w:rPr>
          <w:rStyle w:val="normaltextrun"/>
          <w:rFonts w:ascii="Calibri" w:hAnsi="Calibri" w:cs="Calibri"/>
          <w:color w:val="000000"/>
          <w:bdr w:val="none" w:sz="0" w:space="0" w:color="auto" w:frame="1"/>
        </w:rPr>
        <w:t>that</w:t>
      </w:r>
      <w:r w:rsidR="005644C7" w:rsidRPr="00202664">
        <w:rPr>
          <w:rStyle w:val="normaltextrun"/>
          <w:rFonts w:ascii="Calibri" w:hAnsi="Calibri" w:cs="Calibri"/>
          <w:color w:val="000000"/>
          <w:bdr w:val="none" w:sz="0" w:space="0" w:color="auto" w:frame="1"/>
        </w:rPr>
        <w:t xml:space="preserve"> would require facility response plans (FRPs) to address potential worst-case discharges of hazardous substances under the CWA. This would expand the current FRP program that only deals with oil releases.</w:t>
      </w:r>
    </w:p>
    <w:p w14:paraId="041DE2DD" w14:textId="33572BAA" w:rsidR="00E93B8E" w:rsidRPr="00756E07" w:rsidRDefault="00E93B8E" w:rsidP="00504B58">
      <w:pPr>
        <w:pStyle w:val="Heading3"/>
        <w:spacing w:before="120"/>
        <w:rPr>
          <w:rStyle w:val="normaltextrun"/>
        </w:rPr>
      </w:pPr>
      <w:bookmarkStart w:id="68" w:name="_Toc126593842"/>
      <w:bookmarkStart w:id="69" w:name="_Toc130201019"/>
      <w:r>
        <w:rPr>
          <w:sz w:val="24"/>
          <w:szCs w:val="24"/>
        </w:rPr>
        <w:t>PFAS</w:t>
      </w:r>
      <w:r w:rsidR="00A72482">
        <w:rPr>
          <w:sz w:val="24"/>
          <w:szCs w:val="24"/>
        </w:rPr>
        <w:t xml:space="preserve"> Regulations</w:t>
      </w:r>
      <w:bookmarkEnd w:id="68"/>
      <w:bookmarkEnd w:id="69"/>
    </w:p>
    <w:p w14:paraId="0175B109" w14:textId="6DA3E80D" w:rsidR="002D1B78" w:rsidRDefault="00A72482" w:rsidP="00504B58">
      <w:pPr>
        <w:spacing w:before="120" w:after="0" w:line="240" w:lineRule="auto"/>
      </w:pPr>
      <w:r>
        <w:rPr>
          <w:rStyle w:val="normaltextrun"/>
        </w:rPr>
        <w:t xml:space="preserve">EPA is considering regulation of </w:t>
      </w:r>
      <w:r w:rsidR="00A575A4">
        <w:rPr>
          <w:rStyle w:val="normaltextrun"/>
        </w:rPr>
        <w:t>p</w:t>
      </w:r>
      <w:r w:rsidR="00A575A4" w:rsidRPr="00A575A4">
        <w:rPr>
          <w:rStyle w:val="normaltextrun"/>
        </w:rPr>
        <w:t xml:space="preserve">er- and </w:t>
      </w:r>
      <w:r w:rsidR="00A575A4">
        <w:rPr>
          <w:rStyle w:val="normaltextrun"/>
        </w:rPr>
        <w:t>p</w:t>
      </w:r>
      <w:r w:rsidR="00A575A4" w:rsidRPr="00A575A4">
        <w:rPr>
          <w:rStyle w:val="normaltextrun"/>
        </w:rPr>
        <w:t xml:space="preserve">olyfluoroalkyl </w:t>
      </w:r>
      <w:r w:rsidR="00A575A4">
        <w:rPr>
          <w:rStyle w:val="normaltextrun"/>
        </w:rPr>
        <w:t>(“</w:t>
      </w:r>
      <w:r>
        <w:rPr>
          <w:rStyle w:val="normaltextrun"/>
        </w:rPr>
        <w:t>PFAS</w:t>
      </w:r>
      <w:r w:rsidR="00A575A4">
        <w:rPr>
          <w:rStyle w:val="normaltextrun"/>
        </w:rPr>
        <w:t>”) substances</w:t>
      </w:r>
      <w:r>
        <w:rPr>
          <w:rStyle w:val="normaltextrun"/>
        </w:rPr>
        <w:t xml:space="preserve"> through a variety of avenues across various environmental media. </w:t>
      </w:r>
      <w:r w:rsidR="00141202">
        <w:rPr>
          <w:rStyle w:val="normaltextrun"/>
        </w:rPr>
        <w:t>For example, i</w:t>
      </w:r>
      <w:r>
        <w:rPr>
          <w:rStyle w:val="normaltextrun"/>
        </w:rPr>
        <w:t xml:space="preserve">n </w:t>
      </w:r>
      <w:r w:rsidR="002D1B78" w:rsidRPr="00756F30">
        <w:rPr>
          <w:rStyle w:val="normaltextrun"/>
          <w:rFonts w:ascii="Calibri" w:hAnsi="Calibri" w:cs="Calibri"/>
          <w:color w:val="000000"/>
          <w:szCs w:val="20"/>
          <w:bdr w:val="none" w:sz="0" w:space="0" w:color="auto" w:frame="1"/>
        </w:rPr>
        <w:t xml:space="preserve">September 2022, the EPA published a proposed rulemaking to the Federal Register to designate </w:t>
      </w:r>
      <w:r w:rsidR="008510AD">
        <w:rPr>
          <w:rStyle w:val="normaltextrun"/>
          <w:rFonts w:ascii="Calibri" w:hAnsi="Calibri" w:cs="Calibri"/>
          <w:color w:val="000000"/>
          <w:szCs w:val="20"/>
          <w:bdr w:val="none" w:sz="0" w:space="0" w:color="auto" w:frame="1"/>
        </w:rPr>
        <w:t xml:space="preserve">certain types of PFAS </w:t>
      </w:r>
      <w:r w:rsidR="002D1B78" w:rsidRPr="00756F30">
        <w:rPr>
          <w:rStyle w:val="normaltextrun"/>
          <w:rFonts w:ascii="Calibri" w:hAnsi="Calibri" w:cs="Calibri"/>
          <w:color w:val="000000"/>
          <w:szCs w:val="20"/>
          <w:bdr w:val="none" w:sz="0" w:space="0" w:color="auto" w:frame="1"/>
        </w:rPr>
        <w:t>as “hazardous substances” under the Comprehensive Environmental Response, Compensation and Liability Act (</w:t>
      </w:r>
      <w:r w:rsidR="008510AD">
        <w:rPr>
          <w:rStyle w:val="normaltextrun"/>
          <w:rFonts w:ascii="Calibri" w:hAnsi="Calibri" w:cs="Calibri"/>
          <w:color w:val="000000"/>
          <w:szCs w:val="20"/>
          <w:bdr w:val="none" w:sz="0" w:space="0" w:color="auto" w:frame="1"/>
        </w:rPr>
        <w:t>“</w:t>
      </w:r>
      <w:r w:rsidR="002D1B78" w:rsidRPr="00756F30">
        <w:rPr>
          <w:rStyle w:val="normaltextrun"/>
          <w:rFonts w:ascii="Calibri" w:hAnsi="Calibri" w:cs="Calibri"/>
          <w:color w:val="000000"/>
          <w:szCs w:val="20"/>
          <w:bdr w:val="none" w:sz="0" w:space="0" w:color="auto" w:frame="1"/>
        </w:rPr>
        <w:t>CERCLA</w:t>
      </w:r>
      <w:r w:rsidR="008510AD">
        <w:rPr>
          <w:rStyle w:val="normaltextrun"/>
          <w:rFonts w:ascii="Calibri" w:hAnsi="Calibri" w:cs="Calibri"/>
          <w:color w:val="000000"/>
          <w:szCs w:val="20"/>
          <w:bdr w:val="none" w:sz="0" w:space="0" w:color="auto" w:frame="1"/>
        </w:rPr>
        <w:t>”</w:t>
      </w:r>
      <w:r w:rsidR="002D1B78" w:rsidRPr="00756F30">
        <w:rPr>
          <w:rStyle w:val="normaltextrun"/>
          <w:rFonts w:ascii="Calibri" w:hAnsi="Calibri" w:cs="Calibri"/>
          <w:color w:val="000000"/>
          <w:szCs w:val="20"/>
          <w:bdr w:val="none" w:sz="0" w:space="0" w:color="auto" w:frame="1"/>
        </w:rPr>
        <w:t>).</w:t>
      </w:r>
      <w:r w:rsidR="00141202">
        <w:rPr>
          <w:rStyle w:val="normaltextrun"/>
          <w:rFonts w:ascii="Calibri" w:hAnsi="Calibri" w:cs="Calibri"/>
          <w:color w:val="000000"/>
          <w:szCs w:val="20"/>
          <w:bdr w:val="none" w:sz="0" w:space="0" w:color="auto" w:frame="1"/>
        </w:rPr>
        <w:t xml:space="preserve"> </w:t>
      </w:r>
      <w:r w:rsidR="00141202">
        <w:t xml:space="preserve"> </w:t>
      </w:r>
    </w:p>
    <w:p w14:paraId="7F37E926" w14:textId="15123F6F" w:rsidR="00CA53CA" w:rsidRPr="00141202" w:rsidRDefault="00141202" w:rsidP="00504B58">
      <w:pPr>
        <w:pStyle w:val="Heading3"/>
        <w:spacing w:before="120"/>
        <w:rPr>
          <w:rStyle w:val="normaltextrun"/>
        </w:rPr>
      </w:pPr>
      <w:bookmarkStart w:id="70" w:name="_Toc126593843"/>
      <w:bookmarkStart w:id="71" w:name="_Toc130201020"/>
      <w:r>
        <w:rPr>
          <w:sz w:val="24"/>
          <w:szCs w:val="24"/>
        </w:rPr>
        <w:t>ESA Developments</w:t>
      </w:r>
      <w:bookmarkEnd w:id="70"/>
      <w:bookmarkEnd w:id="71"/>
    </w:p>
    <w:p w14:paraId="3CABE3EF" w14:textId="03EFDF9B" w:rsidR="00FE41C8" w:rsidRDefault="00141202" w:rsidP="00504B58">
      <w:pPr>
        <w:spacing w:before="120" w:after="0" w:line="240" w:lineRule="auto"/>
        <w:rPr>
          <w:rFonts w:eastAsia="Times New Roman" w:cs="Arial"/>
          <w:szCs w:val="24"/>
        </w:rPr>
      </w:pPr>
      <w:r>
        <w:rPr>
          <w:rFonts w:eastAsia="Times New Roman" w:cs="Arial"/>
          <w:szCs w:val="24"/>
        </w:rPr>
        <w:t xml:space="preserve">The Company monitors developments related to the Endangered Species Act (“ESA”) on an ongoing basis, especially </w:t>
      </w:r>
      <w:r w:rsidR="00A374C0">
        <w:rPr>
          <w:rFonts w:eastAsia="Times New Roman" w:cs="Arial"/>
          <w:szCs w:val="24"/>
        </w:rPr>
        <w:t>for affected species found in the Southeast.</w:t>
      </w:r>
      <w:r>
        <w:rPr>
          <w:rFonts w:eastAsia="Times New Roman" w:cs="Arial"/>
          <w:szCs w:val="24"/>
        </w:rPr>
        <w:t xml:space="preserve"> </w:t>
      </w:r>
      <w:r w:rsidR="00FE41C8" w:rsidRPr="00141202">
        <w:rPr>
          <w:rFonts w:eastAsia="Times New Roman" w:cs="Arial"/>
          <w:szCs w:val="24"/>
        </w:rPr>
        <w:t xml:space="preserve">The purpose of the ESA is to protect and recover imperiled species and the ecosystems upon which they depend. </w:t>
      </w:r>
      <w:r w:rsidR="00A374C0">
        <w:rPr>
          <w:rFonts w:eastAsia="Times New Roman" w:cs="Arial"/>
          <w:szCs w:val="24"/>
        </w:rPr>
        <w:t xml:space="preserve">ESA regulatory developments typically affect the construction new facilities. </w:t>
      </w:r>
    </w:p>
    <w:p w14:paraId="016BE2E2" w14:textId="2FD13EC8" w:rsidR="00A374C0" w:rsidRPr="00141202" w:rsidRDefault="00A374C0" w:rsidP="00504B58">
      <w:pPr>
        <w:pStyle w:val="Heading3"/>
        <w:spacing w:before="120"/>
        <w:rPr>
          <w:rStyle w:val="normaltextrun"/>
        </w:rPr>
      </w:pPr>
      <w:bookmarkStart w:id="72" w:name="_Toc126593844"/>
      <w:bookmarkStart w:id="73" w:name="_Toc130201021"/>
      <w:r>
        <w:rPr>
          <w:sz w:val="24"/>
          <w:szCs w:val="24"/>
        </w:rPr>
        <w:t>NEPA Developments</w:t>
      </w:r>
      <w:bookmarkEnd w:id="72"/>
      <w:bookmarkEnd w:id="73"/>
    </w:p>
    <w:p w14:paraId="661A63BC" w14:textId="795EAA2F" w:rsidR="00D239F7" w:rsidRPr="00D239F7" w:rsidRDefault="005A1E43" w:rsidP="00D239F7">
      <w:pPr>
        <w:spacing w:before="120" w:after="0" w:line="240" w:lineRule="auto"/>
        <w:textAlignment w:val="center"/>
        <w:rPr>
          <w:rFonts w:eastAsia="Times New Roman" w:cs="Arial"/>
        </w:rPr>
      </w:pPr>
      <w:r>
        <w:rPr>
          <w:rFonts w:eastAsia="Times New Roman" w:cs="Arial"/>
        </w:rPr>
        <w:t xml:space="preserve">In April 2022, the Council for Environmental Quality (“CEQ”) finalized updates to the </w:t>
      </w:r>
      <w:r w:rsidR="006076B1">
        <w:rPr>
          <w:rFonts w:eastAsia="Times New Roman" w:cs="Arial"/>
        </w:rPr>
        <w:t>National Environmental Policy Act (“NEPA”)</w:t>
      </w:r>
      <w:r w:rsidR="00C5051C">
        <w:rPr>
          <w:rFonts w:eastAsia="Times New Roman" w:cs="Arial"/>
        </w:rPr>
        <w:t xml:space="preserve"> regulations</w:t>
      </w:r>
      <w:r w:rsidR="0066777A" w:rsidRPr="00A374C0">
        <w:rPr>
          <w:rFonts w:eastAsia="Times New Roman" w:cs="Arial"/>
        </w:rPr>
        <w:t xml:space="preserve">, </w:t>
      </w:r>
      <w:r>
        <w:rPr>
          <w:rFonts w:eastAsia="Times New Roman" w:cs="Arial"/>
        </w:rPr>
        <w:t>essentially reversing actions in the 2020 NEPA regulations.</w:t>
      </w:r>
      <w:r w:rsidR="00E64C8A">
        <w:rPr>
          <w:rFonts w:eastAsia="Times New Roman" w:cs="Arial"/>
        </w:rPr>
        <w:t xml:space="preserve"> </w:t>
      </w:r>
      <w:r w:rsidR="00652D0C">
        <w:rPr>
          <w:rFonts w:eastAsia="Times New Roman" w:cs="Arial"/>
        </w:rPr>
        <w:t xml:space="preserve">In July 2023, </w:t>
      </w:r>
      <w:r w:rsidR="00D239F7">
        <w:rPr>
          <w:rFonts w:eastAsia="Times New Roman" w:cs="Arial"/>
        </w:rPr>
        <w:t xml:space="preserve">the CEQ proposed </w:t>
      </w:r>
      <w:r w:rsidR="00D239F7" w:rsidRPr="00D239F7">
        <w:rPr>
          <w:rFonts w:eastAsia="Times New Roman" w:cs="Arial"/>
        </w:rPr>
        <w:t>the Phase 2 NEPA rule named “Bipartisan Permitting Reform Implementation Rule” to implement the NEPA amendments included in the 2023 Fiscal Responsibility Act (FRA), as well as ensure “consideration of relevant environmental, climate change, and environmental justice effects</w:t>
      </w:r>
      <w:r w:rsidR="007D7253">
        <w:rPr>
          <w:rFonts w:eastAsia="Times New Roman" w:cs="Arial"/>
        </w:rPr>
        <w:t>.</w:t>
      </w:r>
      <w:r w:rsidR="00D239F7" w:rsidRPr="00D239F7">
        <w:rPr>
          <w:rFonts w:eastAsia="Times New Roman" w:cs="Arial"/>
        </w:rPr>
        <w:t>”</w:t>
      </w:r>
    </w:p>
    <w:p w14:paraId="2FF743D2" w14:textId="58E7D1A5" w:rsidR="005477B2" w:rsidRPr="00E90CB1" w:rsidRDefault="00E90CB1" w:rsidP="00504B58">
      <w:pPr>
        <w:pStyle w:val="Heading3"/>
        <w:spacing w:before="120"/>
        <w:rPr>
          <w:rStyle w:val="normaltextrun"/>
        </w:rPr>
      </w:pPr>
      <w:bookmarkStart w:id="74" w:name="_Toc126593845"/>
      <w:bookmarkStart w:id="75" w:name="_Toc130201022"/>
      <w:r>
        <w:rPr>
          <w:sz w:val="24"/>
          <w:szCs w:val="24"/>
        </w:rPr>
        <w:t>TMDL Developments</w:t>
      </w:r>
      <w:bookmarkEnd w:id="74"/>
      <w:bookmarkEnd w:id="75"/>
    </w:p>
    <w:p w14:paraId="6128C61D" w14:textId="24574FDD" w:rsidR="00831315" w:rsidRDefault="0031209E" w:rsidP="00504B58">
      <w:pPr>
        <w:spacing w:before="120" w:after="0" w:line="240" w:lineRule="auto"/>
      </w:pPr>
      <w:r>
        <w:rPr>
          <w:rStyle w:val="normaltextrun"/>
          <w:rFonts w:ascii="Calibri" w:hAnsi="Calibri" w:cs="Calibri"/>
          <w:color w:val="000000"/>
          <w:szCs w:val="20"/>
          <w:bdr w:val="none" w:sz="0" w:space="0" w:color="auto" w:frame="1"/>
        </w:rPr>
        <w:t>S</w:t>
      </w:r>
      <w:r w:rsidR="00975E48" w:rsidRPr="00E90CB1">
        <w:rPr>
          <w:rStyle w:val="normaltextrun"/>
          <w:rFonts w:ascii="Calibri" w:hAnsi="Calibri" w:cs="Calibri"/>
          <w:color w:val="000000"/>
          <w:szCs w:val="20"/>
          <w:bdr w:val="none" w:sz="0" w:space="0" w:color="auto" w:frame="1"/>
        </w:rPr>
        <w:t>tates are required to identify impaired waters (waters that do not meet applicable water quality standards), develop total maximum daily loads (“TMDLs”) for those waters, and impose point and non-point source limitations designed to bring the waters into compliance.</w:t>
      </w:r>
      <w:r>
        <w:rPr>
          <w:rStyle w:val="normaltextrun"/>
          <w:rFonts w:ascii="Calibri" w:hAnsi="Calibri" w:cs="Calibri"/>
          <w:color w:val="000000"/>
          <w:szCs w:val="20"/>
          <w:bdr w:val="none" w:sz="0" w:space="0" w:color="auto" w:frame="1"/>
        </w:rPr>
        <w:t xml:space="preserve"> </w:t>
      </w:r>
      <w:bookmarkStart w:id="76" w:name="_Toc535908104"/>
      <w:bookmarkStart w:id="77" w:name="_Toc94197922"/>
    </w:p>
    <w:p w14:paraId="2F713D3B" w14:textId="5923F1C7" w:rsidR="00112452" w:rsidRPr="00E90CB1" w:rsidRDefault="00B258F6" w:rsidP="00112452">
      <w:pPr>
        <w:pStyle w:val="Heading3"/>
        <w:spacing w:before="120"/>
        <w:rPr>
          <w:rStyle w:val="normaltextrun"/>
        </w:rPr>
      </w:pPr>
      <w:bookmarkStart w:id="78" w:name="_Toc130201023"/>
      <w:r>
        <w:rPr>
          <w:sz w:val="24"/>
          <w:szCs w:val="24"/>
        </w:rPr>
        <w:t>Other</w:t>
      </w:r>
      <w:r w:rsidR="00112452" w:rsidRPr="5E83B6B0">
        <w:rPr>
          <w:sz w:val="24"/>
          <w:szCs w:val="24"/>
        </w:rPr>
        <w:t xml:space="preserve"> Generating Units</w:t>
      </w:r>
      <w:bookmarkEnd w:id="78"/>
    </w:p>
    <w:p w14:paraId="5A086AAD" w14:textId="30D5FB96" w:rsidR="00CD193C" w:rsidRDefault="00B258F6" w:rsidP="5E83B6B0">
      <w:pPr>
        <w:spacing w:before="120" w:after="0" w:line="240" w:lineRule="auto"/>
        <w:rPr>
          <w:rFonts w:asciiTheme="majorHAnsi" w:eastAsia="Arial" w:hAnsiTheme="majorHAnsi" w:cstheme="majorBidi"/>
          <w:b/>
          <w:bCs/>
          <w:color w:val="1F3864" w:themeColor="accent1" w:themeShade="80"/>
          <w:sz w:val="32"/>
          <w:szCs w:val="32"/>
        </w:rPr>
      </w:pPr>
      <w:r>
        <w:t>Other types of generating units</w:t>
      </w:r>
      <w:r w:rsidR="00C63B00">
        <w:t>, such as</w:t>
      </w:r>
      <w:r w:rsidR="00831315">
        <w:t xml:space="preserve"> hydroelectric</w:t>
      </w:r>
      <w:r w:rsidR="00C63B00">
        <w:t xml:space="preserve">, </w:t>
      </w:r>
      <w:r w:rsidR="00831315">
        <w:t>nuclear</w:t>
      </w:r>
      <w:r w:rsidR="00C63B00">
        <w:t xml:space="preserve">, </w:t>
      </w:r>
      <w:r w:rsidR="009D387A">
        <w:t xml:space="preserve">renewables, </w:t>
      </w:r>
      <w:r w:rsidR="00D00295">
        <w:t xml:space="preserve">battery energy storage systems, </w:t>
      </w:r>
      <w:r w:rsidR="00C63B00">
        <w:t>and distributed energy resources (such as reciprocating internal combustion engines)</w:t>
      </w:r>
      <w:r w:rsidR="00831315">
        <w:t xml:space="preserve"> also comply with various environmental requirements </w:t>
      </w:r>
      <w:r w:rsidR="000F79C3">
        <w:t>set by EPA and Georgia EPD</w:t>
      </w:r>
      <w:r w:rsidR="00AC7961">
        <w:t xml:space="preserve"> related to siting, construction, and/or operation</w:t>
      </w:r>
      <w:r w:rsidR="001B5573">
        <w:t>. Hydro and nuclear facilities</w:t>
      </w:r>
      <w:r w:rsidR="00831315">
        <w:t xml:space="preserve"> </w:t>
      </w:r>
      <w:r w:rsidR="000F79C3">
        <w:t>also</w:t>
      </w:r>
      <w:r w:rsidR="00831315">
        <w:t xml:space="preserve"> consider environmental impacts through regulatory processes at the Federal Energy Regulatory Commission (“FERC”)</w:t>
      </w:r>
      <w:r w:rsidR="000F79C3">
        <w:t xml:space="preserve"> or</w:t>
      </w:r>
      <w:r w:rsidR="00831315">
        <w:t xml:space="preserve"> the Nuclear Regulatory Commission (“NRC”)</w:t>
      </w:r>
      <w:r w:rsidR="000F79C3">
        <w:t>.</w:t>
      </w:r>
      <w:r w:rsidR="00831315">
        <w:t xml:space="preserve"> </w:t>
      </w:r>
      <w:r w:rsidR="00831315" w:rsidRPr="5E83B6B0">
        <w:rPr>
          <w:rFonts w:eastAsia="Arial"/>
          <w:b/>
          <w:bCs/>
          <w:sz w:val="32"/>
          <w:szCs w:val="32"/>
        </w:rPr>
        <w:br w:type="page"/>
      </w:r>
    </w:p>
    <w:p w14:paraId="74DCD193" w14:textId="3B44D0BB" w:rsidR="000D33E9" w:rsidRDefault="00F77C78" w:rsidP="00D409B0">
      <w:pPr>
        <w:pStyle w:val="Heading1"/>
        <w:spacing w:before="120" w:after="160"/>
        <w:rPr>
          <w:rFonts w:eastAsia="Arial"/>
          <w:b/>
          <w:bCs/>
          <w:sz w:val="32"/>
          <w:szCs w:val="32"/>
        </w:rPr>
      </w:pPr>
      <w:bookmarkStart w:id="79" w:name="_Toc130201024"/>
      <w:r>
        <w:rPr>
          <w:rFonts w:eastAsia="Arial"/>
          <w:b/>
          <w:bCs/>
          <w:sz w:val="32"/>
          <w:szCs w:val="32"/>
        </w:rPr>
        <w:lastRenderedPageBreak/>
        <w:t xml:space="preserve">ECS - </w:t>
      </w:r>
      <w:r w:rsidRPr="00F77C78">
        <w:rPr>
          <w:rFonts w:eastAsia="Arial"/>
          <w:b/>
          <w:bCs/>
          <w:sz w:val="32"/>
          <w:szCs w:val="32"/>
        </w:rPr>
        <w:t xml:space="preserve">Appendix </w:t>
      </w:r>
      <w:r>
        <w:rPr>
          <w:rFonts w:eastAsia="Arial"/>
          <w:b/>
          <w:bCs/>
          <w:sz w:val="32"/>
          <w:szCs w:val="32"/>
        </w:rPr>
        <w:t>B</w:t>
      </w:r>
      <w:r w:rsidRPr="00F77C78">
        <w:rPr>
          <w:rFonts w:eastAsia="Arial"/>
          <w:b/>
          <w:bCs/>
          <w:sz w:val="32"/>
          <w:szCs w:val="32"/>
        </w:rPr>
        <w:t xml:space="preserve"> – </w:t>
      </w:r>
      <w:r>
        <w:rPr>
          <w:rFonts w:eastAsia="Arial"/>
          <w:b/>
          <w:bCs/>
          <w:sz w:val="32"/>
          <w:szCs w:val="32"/>
        </w:rPr>
        <w:t>Acronyms/Abbreviations</w:t>
      </w:r>
      <w:bookmarkEnd w:id="76"/>
      <w:bookmarkEnd w:id="77"/>
      <w:bookmarkEnd w:id="79"/>
    </w:p>
    <w:p w14:paraId="7452DA7D" w14:textId="57CCCE26" w:rsidR="00F77C78" w:rsidRDefault="00F77C78" w:rsidP="00514A44">
      <w:pPr>
        <w:spacing w:after="120"/>
      </w:pPr>
      <w:r>
        <w:t>ABUC</w:t>
      </w:r>
      <w:r>
        <w:tab/>
      </w:r>
      <w:r>
        <w:tab/>
        <w:t>Ash Beneficial Use Center</w:t>
      </w:r>
    </w:p>
    <w:p w14:paraId="2994E5F9" w14:textId="1C213D31" w:rsidR="00F77C78" w:rsidRDefault="00F77C78" w:rsidP="00514A44">
      <w:pPr>
        <w:spacing w:after="120"/>
      </w:pPr>
      <w:r>
        <w:t>ACE</w:t>
      </w:r>
      <w:r>
        <w:tab/>
      </w:r>
      <w:r>
        <w:tab/>
        <w:t xml:space="preserve">Affordable Clean Energy </w:t>
      </w:r>
    </w:p>
    <w:p w14:paraId="5847B52A" w14:textId="5C7E1CA7" w:rsidR="00F77C78" w:rsidRDefault="00F77C78" w:rsidP="00514A44">
      <w:pPr>
        <w:spacing w:after="120"/>
      </w:pPr>
      <w:r>
        <w:t>ACI</w:t>
      </w:r>
      <w:r>
        <w:tab/>
      </w:r>
      <w:r>
        <w:tab/>
        <w:t>Activated Carbon Injection</w:t>
      </w:r>
    </w:p>
    <w:p w14:paraId="17DAF771" w14:textId="26E2C5A5" w:rsidR="00F77C78" w:rsidRDefault="00F77C78" w:rsidP="00514A44">
      <w:pPr>
        <w:spacing w:after="120"/>
      </w:pPr>
      <w:r>
        <w:t>ACM</w:t>
      </w:r>
      <w:r>
        <w:tab/>
      </w:r>
      <w:r>
        <w:tab/>
        <w:t>Advanced Closure Methods</w:t>
      </w:r>
    </w:p>
    <w:p w14:paraId="1EE40129" w14:textId="054C8FAA" w:rsidR="00E90FD0" w:rsidRDefault="00E90FD0" w:rsidP="00514A44">
      <w:pPr>
        <w:spacing w:after="120"/>
      </w:pPr>
      <w:r>
        <w:t>ADEM</w:t>
      </w:r>
      <w:r>
        <w:tab/>
      </w:r>
      <w:r>
        <w:tab/>
        <w:t>Alabama Department of Environmental Management</w:t>
      </w:r>
    </w:p>
    <w:p w14:paraId="09207FBC" w14:textId="72FE3FD7" w:rsidR="00F77C78" w:rsidRDefault="00F77C78" w:rsidP="00514A44">
      <w:pPr>
        <w:spacing w:after="120"/>
      </w:pPr>
      <w:r>
        <w:t>ALK</w:t>
      </w:r>
      <w:r>
        <w:tab/>
      </w:r>
      <w:r>
        <w:tab/>
        <w:t>Alkali Sorbent Injection</w:t>
      </w:r>
    </w:p>
    <w:p w14:paraId="1DE31D28" w14:textId="3E74E2D7" w:rsidR="00F77C78" w:rsidRDefault="00F77C78" w:rsidP="00514A44">
      <w:pPr>
        <w:spacing w:after="120"/>
      </w:pPr>
      <w:r>
        <w:t>ARO</w:t>
      </w:r>
      <w:r>
        <w:tab/>
      </w:r>
      <w:r>
        <w:tab/>
        <w:t xml:space="preserve">Asset Retirement Obligation </w:t>
      </w:r>
    </w:p>
    <w:p w14:paraId="01D2C14D" w14:textId="63028556" w:rsidR="00F77C78" w:rsidRDefault="00F77C78" w:rsidP="00514A44">
      <w:pPr>
        <w:spacing w:after="120"/>
      </w:pPr>
      <w:r>
        <w:t>ASC</w:t>
      </w:r>
      <w:r>
        <w:tab/>
      </w:r>
      <w:r>
        <w:tab/>
        <w:t>Accounting Standards Codification</w:t>
      </w:r>
    </w:p>
    <w:p w14:paraId="59796ACF" w14:textId="16E7ADCD" w:rsidR="00F77C78" w:rsidRDefault="00F77C78" w:rsidP="00514A44">
      <w:pPr>
        <w:spacing w:after="120"/>
      </w:pPr>
      <w:r>
        <w:t>CAA</w:t>
      </w:r>
      <w:r>
        <w:tab/>
      </w:r>
      <w:r>
        <w:tab/>
        <w:t>Clean Air Act</w:t>
      </w:r>
    </w:p>
    <w:p w14:paraId="44D81BBA" w14:textId="5169A608" w:rsidR="00F77C78" w:rsidRDefault="00F77C78" w:rsidP="00514A44">
      <w:pPr>
        <w:spacing w:after="120"/>
      </w:pPr>
      <w:r>
        <w:t>CAIR</w:t>
      </w:r>
      <w:r>
        <w:tab/>
      </w:r>
      <w:r>
        <w:tab/>
        <w:t>Clean Air Interstate Rule</w:t>
      </w:r>
    </w:p>
    <w:p w14:paraId="428F9A9A" w14:textId="52306D3D" w:rsidR="00F77C78" w:rsidRDefault="00F77C78" w:rsidP="00514A44">
      <w:pPr>
        <w:spacing w:after="120"/>
      </w:pPr>
      <w:r>
        <w:t>CCR</w:t>
      </w:r>
      <w:r>
        <w:tab/>
      </w:r>
      <w:r>
        <w:tab/>
        <w:t>Coal Combustion Residuals</w:t>
      </w:r>
    </w:p>
    <w:p w14:paraId="77D9AED2" w14:textId="2BFCE938" w:rsidR="00F77C78" w:rsidRDefault="00F77C78" w:rsidP="00514A44">
      <w:pPr>
        <w:spacing w:after="120"/>
      </w:pPr>
      <w:r>
        <w:t>CCS</w:t>
      </w:r>
      <w:r>
        <w:tab/>
      </w:r>
      <w:r>
        <w:tab/>
        <w:t>Carbon Capture &amp; Sequestration</w:t>
      </w:r>
    </w:p>
    <w:p w14:paraId="33F89ACC" w14:textId="1F8C0F24" w:rsidR="00F77C78" w:rsidRDefault="000F3678" w:rsidP="00514A44">
      <w:pPr>
        <w:spacing w:after="120"/>
      </w:pPr>
      <w:r>
        <w:t>CEQ</w:t>
      </w:r>
      <w:r>
        <w:tab/>
      </w:r>
      <w:r>
        <w:tab/>
        <w:t>Council on Environmental Quality</w:t>
      </w:r>
    </w:p>
    <w:p w14:paraId="27AB1CBF" w14:textId="3CF00E2E" w:rsidR="00F77C78" w:rsidRDefault="00F77C78" w:rsidP="00514A44">
      <w:pPr>
        <w:spacing w:after="120"/>
      </w:pPr>
      <w:r>
        <w:t>CFR</w:t>
      </w:r>
      <w:r>
        <w:tab/>
      </w:r>
      <w:r>
        <w:tab/>
        <w:t>Code of Federal Regulations</w:t>
      </w:r>
    </w:p>
    <w:p w14:paraId="02E64C43" w14:textId="3DE904E5" w:rsidR="00F77C78" w:rsidRDefault="00F77C78" w:rsidP="00514A44">
      <w:pPr>
        <w:spacing w:after="120"/>
      </w:pPr>
      <w:r>
        <w:t>CO</w:t>
      </w:r>
      <w:r>
        <w:tab/>
      </w:r>
      <w:r>
        <w:tab/>
        <w:t>Carbon Monoxide</w:t>
      </w:r>
    </w:p>
    <w:p w14:paraId="5808686D" w14:textId="2F6DA387" w:rsidR="00F77C78" w:rsidRDefault="00F77C78" w:rsidP="00514A44">
      <w:pPr>
        <w:spacing w:after="120"/>
      </w:pPr>
      <w:r>
        <w:t>CO2</w:t>
      </w:r>
      <w:r>
        <w:tab/>
      </w:r>
      <w:r>
        <w:tab/>
        <w:t>Carbon Dioxide</w:t>
      </w:r>
    </w:p>
    <w:p w14:paraId="36441EA8" w14:textId="77777777" w:rsidR="00F77C78" w:rsidRDefault="00F77C78" w:rsidP="00514A44">
      <w:pPr>
        <w:spacing w:after="120"/>
      </w:pPr>
      <w:r>
        <w:t>COHPAC</w:t>
      </w:r>
      <w:r>
        <w:tab/>
        <w:t>Compact Hybrid Particulate Collector</w:t>
      </w:r>
    </w:p>
    <w:p w14:paraId="60DDC2B6" w14:textId="75AE3872" w:rsidR="00F77C78" w:rsidRDefault="00F77C78" w:rsidP="00514A44">
      <w:pPr>
        <w:spacing w:after="120"/>
      </w:pPr>
      <w:r>
        <w:t>COP</w:t>
      </w:r>
      <w:r>
        <w:tab/>
      </w:r>
      <w:r>
        <w:tab/>
        <w:t>Conference of Parties</w:t>
      </w:r>
    </w:p>
    <w:p w14:paraId="76E621ED" w14:textId="18F46070" w:rsidR="00F77C78" w:rsidRDefault="00F77C78" w:rsidP="00514A44">
      <w:pPr>
        <w:spacing w:after="120"/>
      </w:pPr>
      <w:r>
        <w:t>CMP</w:t>
      </w:r>
      <w:r>
        <w:tab/>
      </w:r>
      <w:r>
        <w:tab/>
        <w:t>Meeting of the Parties to the Kyoto Protocol</w:t>
      </w:r>
    </w:p>
    <w:p w14:paraId="0BAE6324" w14:textId="1264CB01" w:rsidR="00F77C78" w:rsidRDefault="00F77C78" w:rsidP="00514A44">
      <w:pPr>
        <w:spacing w:after="120"/>
      </w:pPr>
      <w:r>
        <w:t>CPP</w:t>
      </w:r>
      <w:r>
        <w:tab/>
      </w:r>
      <w:r>
        <w:tab/>
        <w:t>Clean Power Plan</w:t>
      </w:r>
    </w:p>
    <w:p w14:paraId="6A9D715B" w14:textId="607BE554" w:rsidR="00F77C78" w:rsidRDefault="00F77C78" w:rsidP="00514A44">
      <w:pPr>
        <w:spacing w:after="120"/>
      </w:pPr>
      <w:r>
        <w:t>CSAPR</w:t>
      </w:r>
      <w:r>
        <w:tab/>
      </w:r>
      <w:r>
        <w:tab/>
        <w:t>Cross State Air Pollution Rule</w:t>
      </w:r>
    </w:p>
    <w:p w14:paraId="26F5A38D" w14:textId="7B8D63BD" w:rsidR="00F77C78" w:rsidRDefault="00F77C78" w:rsidP="00514A44">
      <w:pPr>
        <w:spacing w:after="120"/>
      </w:pPr>
      <w:r>
        <w:t>CWA</w:t>
      </w:r>
      <w:r>
        <w:tab/>
      </w:r>
      <w:r>
        <w:tab/>
        <w:t>Clean Water Act</w:t>
      </w:r>
    </w:p>
    <w:p w14:paraId="10F0C610" w14:textId="43640649" w:rsidR="00F77C78" w:rsidRDefault="00F77C78" w:rsidP="00514A44">
      <w:pPr>
        <w:spacing w:after="120"/>
      </w:pPr>
      <w:r>
        <w:t>DNR</w:t>
      </w:r>
      <w:r>
        <w:tab/>
      </w:r>
      <w:r>
        <w:tab/>
        <w:t>Department of Natural Resources</w:t>
      </w:r>
    </w:p>
    <w:p w14:paraId="78385FE5" w14:textId="1DA8FD8C" w:rsidR="00F77C78" w:rsidRDefault="00F77C78" w:rsidP="00514A44">
      <w:pPr>
        <w:spacing w:after="120"/>
      </w:pPr>
      <w:r>
        <w:t>DOE</w:t>
      </w:r>
      <w:r>
        <w:tab/>
      </w:r>
      <w:r>
        <w:tab/>
        <w:t>Department of Energy</w:t>
      </w:r>
    </w:p>
    <w:p w14:paraId="62C98EAE" w14:textId="3F6DAFBA" w:rsidR="00F77C78" w:rsidRDefault="00F77C78" w:rsidP="00514A44">
      <w:pPr>
        <w:spacing w:after="120"/>
      </w:pPr>
      <w:r>
        <w:t>DSI</w:t>
      </w:r>
      <w:r>
        <w:tab/>
      </w:r>
      <w:r>
        <w:tab/>
        <w:t>Dry Sorbent Injection</w:t>
      </w:r>
    </w:p>
    <w:p w14:paraId="132ED097" w14:textId="37933178" w:rsidR="00F77C78" w:rsidRDefault="00F77C78" w:rsidP="00514A44">
      <w:pPr>
        <w:spacing w:after="120"/>
      </w:pPr>
      <w:r>
        <w:t>ECCR</w:t>
      </w:r>
      <w:r>
        <w:tab/>
      </w:r>
      <w:r>
        <w:tab/>
        <w:t>Environmental Compliance Cost Recovery</w:t>
      </w:r>
    </w:p>
    <w:p w14:paraId="0733A5F9" w14:textId="50688905" w:rsidR="00F77C78" w:rsidRDefault="00F77C78" w:rsidP="00514A44">
      <w:pPr>
        <w:spacing w:after="120"/>
      </w:pPr>
      <w:r>
        <w:t>ECS</w:t>
      </w:r>
      <w:r>
        <w:tab/>
      </w:r>
      <w:r>
        <w:tab/>
        <w:t xml:space="preserve">Environmental Compliance Strategy </w:t>
      </w:r>
    </w:p>
    <w:p w14:paraId="4E9F8605" w14:textId="42A98819" w:rsidR="00F77C78" w:rsidRDefault="00F77C78" w:rsidP="00514A44">
      <w:pPr>
        <w:spacing w:after="120"/>
      </w:pPr>
      <w:r>
        <w:t>ELG</w:t>
      </w:r>
      <w:r>
        <w:tab/>
      </w:r>
      <w:r>
        <w:tab/>
        <w:t>Effluent Limitations Guidelines</w:t>
      </w:r>
    </w:p>
    <w:p w14:paraId="6ED56B62" w14:textId="2F798A92" w:rsidR="00F77C78" w:rsidRDefault="00F77C78" w:rsidP="00514A44">
      <w:pPr>
        <w:spacing w:after="120"/>
      </w:pPr>
      <w:r>
        <w:t>EO</w:t>
      </w:r>
      <w:r>
        <w:tab/>
      </w:r>
      <w:r>
        <w:tab/>
        <w:t>Executive Order</w:t>
      </w:r>
    </w:p>
    <w:p w14:paraId="773ACF3E" w14:textId="3CEE60E6" w:rsidR="00F77C78" w:rsidRDefault="00F77C78" w:rsidP="00514A44">
      <w:pPr>
        <w:spacing w:after="120"/>
      </w:pPr>
      <w:r>
        <w:t>EPA</w:t>
      </w:r>
      <w:r>
        <w:tab/>
      </w:r>
      <w:r>
        <w:tab/>
        <w:t>U.S. Environmental Protection Agency</w:t>
      </w:r>
    </w:p>
    <w:p w14:paraId="393D45E7" w14:textId="43668251" w:rsidR="00F77C78" w:rsidRDefault="00F77C78" w:rsidP="00514A44">
      <w:pPr>
        <w:spacing w:after="120"/>
      </w:pPr>
      <w:r>
        <w:lastRenderedPageBreak/>
        <w:t>EPD</w:t>
      </w:r>
      <w:r>
        <w:tab/>
      </w:r>
      <w:r>
        <w:tab/>
        <w:t>Georgia Environmental Protection Division</w:t>
      </w:r>
    </w:p>
    <w:p w14:paraId="2E9CF1F8" w14:textId="38A22E4A" w:rsidR="00F77C78" w:rsidRDefault="00F77C78" w:rsidP="00514A44">
      <w:pPr>
        <w:spacing w:after="120"/>
      </w:pPr>
      <w:r>
        <w:t>EPRI</w:t>
      </w:r>
      <w:r>
        <w:tab/>
      </w:r>
      <w:r>
        <w:tab/>
        <w:t>Electric Power Research Institute</w:t>
      </w:r>
    </w:p>
    <w:p w14:paraId="2DF13E23" w14:textId="63453DE0" w:rsidR="00F77C78" w:rsidRDefault="00F77C78" w:rsidP="00514A44">
      <w:pPr>
        <w:spacing w:after="120"/>
      </w:pPr>
      <w:r>
        <w:t>ESA</w:t>
      </w:r>
      <w:r>
        <w:tab/>
      </w:r>
      <w:r>
        <w:tab/>
        <w:t>Endangered Species Act</w:t>
      </w:r>
    </w:p>
    <w:p w14:paraId="0D7A9606" w14:textId="049DE694" w:rsidR="00F77C78" w:rsidRDefault="00F77C78" w:rsidP="00514A44">
      <w:pPr>
        <w:spacing w:after="120"/>
      </w:pPr>
      <w:r>
        <w:t>FASB</w:t>
      </w:r>
      <w:r>
        <w:tab/>
      </w:r>
      <w:r>
        <w:tab/>
        <w:t>Financial Accounting Standards Board</w:t>
      </w:r>
    </w:p>
    <w:p w14:paraId="7F3E0203" w14:textId="0CF2B83D" w:rsidR="000F3678" w:rsidRDefault="000F3678" w:rsidP="00514A44">
      <w:pPr>
        <w:spacing w:after="120"/>
      </w:pPr>
      <w:r>
        <w:t>FERC</w:t>
      </w:r>
      <w:r>
        <w:tab/>
      </w:r>
      <w:r>
        <w:tab/>
        <w:t>Federal Energy Regulatory Commission</w:t>
      </w:r>
    </w:p>
    <w:p w14:paraId="732F20AF" w14:textId="5B2D9871" w:rsidR="00F77C78" w:rsidRDefault="00F77C78" w:rsidP="00514A44">
      <w:pPr>
        <w:spacing w:after="120"/>
      </w:pPr>
      <w:r>
        <w:t>FGD</w:t>
      </w:r>
      <w:r>
        <w:tab/>
      </w:r>
      <w:r>
        <w:tab/>
        <w:t>Flue Gas Desulfurization</w:t>
      </w:r>
    </w:p>
    <w:p w14:paraId="1C084F51" w14:textId="32CC757B" w:rsidR="001078DB" w:rsidRDefault="001078DB" w:rsidP="00514A44">
      <w:pPr>
        <w:spacing w:after="120"/>
      </w:pPr>
      <w:r>
        <w:t>GAAP</w:t>
      </w:r>
      <w:r>
        <w:tab/>
      </w:r>
      <w:r>
        <w:tab/>
        <w:t>Generally Accepted Accounting Principle</w:t>
      </w:r>
    </w:p>
    <w:p w14:paraId="7205D1AE" w14:textId="1B40B263" w:rsidR="00F77C78" w:rsidRDefault="00F77C78" w:rsidP="00514A44">
      <w:pPr>
        <w:spacing w:after="120"/>
      </w:pPr>
      <w:r>
        <w:t>GHG</w:t>
      </w:r>
      <w:r>
        <w:tab/>
      </w:r>
      <w:r>
        <w:tab/>
        <w:t>Greenhouse Gas</w:t>
      </w:r>
    </w:p>
    <w:p w14:paraId="3BA294B1" w14:textId="0891B3B4" w:rsidR="004C30B3" w:rsidRDefault="004C30B3" w:rsidP="00514A44">
      <w:pPr>
        <w:spacing w:after="120"/>
      </w:pPr>
      <w:r>
        <w:t>GPC</w:t>
      </w:r>
      <w:r>
        <w:tab/>
      </w:r>
      <w:r>
        <w:tab/>
        <w:t>Georgia Power Company</w:t>
      </w:r>
    </w:p>
    <w:p w14:paraId="06FBA8E1" w14:textId="75F17556" w:rsidR="00F77C78" w:rsidRDefault="00F77C78" w:rsidP="00514A44">
      <w:pPr>
        <w:spacing w:after="120"/>
      </w:pPr>
      <w:r>
        <w:t>HAP</w:t>
      </w:r>
      <w:r>
        <w:tab/>
      </w:r>
      <w:r>
        <w:tab/>
        <w:t>Hazardous Air Pollutant</w:t>
      </w:r>
    </w:p>
    <w:p w14:paraId="7BD20967" w14:textId="73415C57" w:rsidR="00F77C78" w:rsidRDefault="00F77C78" w:rsidP="00514A44">
      <w:pPr>
        <w:spacing w:after="120"/>
      </w:pPr>
      <w:r>
        <w:t>HDPE</w:t>
      </w:r>
      <w:r>
        <w:tab/>
      </w:r>
      <w:r>
        <w:tab/>
        <w:t>High-Density Polyethylene</w:t>
      </w:r>
    </w:p>
    <w:p w14:paraId="2A02E638" w14:textId="02799064" w:rsidR="00F77C78" w:rsidRDefault="00F77C78" w:rsidP="00514A44">
      <w:pPr>
        <w:spacing w:after="120"/>
      </w:pPr>
      <w:r>
        <w:t>HFC</w:t>
      </w:r>
      <w:r>
        <w:tab/>
      </w:r>
      <w:r>
        <w:tab/>
        <w:t>Hydrofluorocarbon</w:t>
      </w:r>
    </w:p>
    <w:p w14:paraId="532DD795" w14:textId="0E8D2F7C" w:rsidR="00F77C78" w:rsidRDefault="00F77C78" w:rsidP="00514A44">
      <w:pPr>
        <w:spacing w:after="120"/>
      </w:pPr>
      <w:r>
        <w:t>HLRW</w:t>
      </w:r>
      <w:r>
        <w:tab/>
      </w:r>
      <w:r>
        <w:tab/>
        <w:t>High-Level Radioactive Waste</w:t>
      </w:r>
    </w:p>
    <w:p w14:paraId="3F7FC258" w14:textId="383D75C5" w:rsidR="00F77C78" w:rsidRDefault="00F77C78" w:rsidP="00514A44">
      <w:pPr>
        <w:spacing w:after="120"/>
      </w:pPr>
      <w:r>
        <w:t>HTL</w:t>
      </w:r>
      <w:r>
        <w:tab/>
      </w:r>
      <w:r>
        <w:tab/>
        <w:t>Heat Transfer Loop</w:t>
      </w:r>
    </w:p>
    <w:p w14:paraId="3B63DAAD" w14:textId="6BA26015" w:rsidR="00F77C78" w:rsidRDefault="00F77C78" w:rsidP="00514A44">
      <w:pPr>
        <w:spacing w:after="120"/>
      </w:pPr>
      <w:r>
        <w:t>IRP</w:t>
      </w:r>
      <w:r>
        <w:tab/>
      </w:r>
      <w:r>
        <w:tab/>
        <w:t>Integrated Resource Plan</w:t>
      </w:r>
    </w:p>
    <w:p w14:paraId="36CE8292" w14:textId="7558F9B8" w:rsidR="00F77C78" w:rsidRDefault="00F77C78" w:rsidP="00514A44">
      <w:pPr>
        <w:spacing w:after="120"/>
      </w:pPr>
      <w:r>
        <w:t>LLRW</w:t>
      </w:r>
      <w:r>
        <w:tab/>
      </w:r>
      <w:r>
        <w:tab/>
        <w:t>Low Level Radioactive Waste</w:t>
      </w:r>
    </w:p>
    <w:p w14:paraId="18EB2B5F" w14:textId="5BEE0D16" w:rsidR="00F77C78" w:rsidRDefault="00F77C78" w:rsidP="00514A44">
      <w:pPr>
        <w:spacing w:after="120"/>
      </w:pPr>
      <w:r>
        <w:t>LN</w:t>
      </w:r>
      <w:r w:rsidR="004B0DA0">
        <w:t xml:space="preserve">CS </w:t>
      </w:r>
      <w:r w:rsidR="004B0DA0">
        <w:tab/>
      </w:r>
      <w:r w:rsidR="004B0DA0">
        <w:tab/>
        <w:t>Low NOx Combustion System</w:t>
      </w:r>
    </w:p>
    <w:p w14:paraId="0C6E53C4" w14:textId="2DC4FCF6" w:rsidR="00F77C78" w:rsidRDefault="00F77C78" w:rsidP="00514A44">
      <w:pPr>
        <w:spacing w:after="120"/>
      </w:pPr>
      <w:r>
        <w:t>MACT</w:t>
      </w:r>
      <w:r>
        <w:tab/>
      </w:r>
      <w:r>
        <w:tab/>
        <w:t>Maximum Achievable Control Technology</w:t>
      </w:r>
    </w:p>
    <w:p w14:paraId="59133020" w14:textId="54A65C5F" w:rsidR="00F77C78" w:rsidRDefault="00F77C78" w:rsidP="00514A44">
      <w:pPr>
        <w:spacing w:after="120"/>
      </w:pPr>
      <w:r>
        <w:t>MATS</w:t>
      </w:r>
      <w:r>
        <w:tab/>
      </w:r>
      <w:r>
        <w:tab/>
        <w:t>Mercury and Air Toxics Standards</w:t>
      </w:r>
    </w:p>
    <w:p w14:paraId="7C3828DC" w14:textId="4F24F080" w:rsidR="00F77C78" w:rsidRDefault="00F77C78" w:rsidP="00514A44">
      <w:pPr>
        <w:spacing w:after="120"/>
      </w:pPr>
      <w:r>
        <w:t>MRCS</w:t>
      </w:r>
      <w:r>
        <w:tab/>
      </w:r>
      <w:r>
        <w:tab/>
        <w:t>Mercury Re-emission Control System</w:t>
      </w:r>
    </w:p>
    <w:p w14:paraId="181C5B9D" w14:textId="7511E31A" w:rsidR="00F77C78" w:rsidRDefault="00F77C78" w:rsidP="00514A44">
      <w:pPr>
        <w:spacing w:after="120"/>
      </w:pPr>
      <w:r>
        <w:t>NAAQS</w:t>
      </w:r>
      <w:r>
        <w:tab/>
      </w:r>
      <w:r w:rsidR="00797432">
        <w:tab/>
      </w:r>
      <w:r>
        <w:t>National Ambient Air Quality Standards</w:t>
      </w:r>
    </w:p>
    <w:p w14:paraId="19D69E16" w14:textId="6092EFE9" w:rsidR="00F77C78" w:rsidRDefault="00F77C78" w:rsidP="00514A44">
      <w:pPr>
        <w:spacing w:after="120"/>
      </w:pPr>
      <w:r>
        <w:t>NDC</w:t>
      </w:r>
      <w:r w:rsidR="00797432">
        <w:tab/>
      </w:r>
      <w:r>
        <w:tab/>
        <w:t>Nationally Determined Contribution</w:t>
      </w:r>
    </w:p>
    <w:p w14:paraId="6CEAEA08" w14:textId="757B4996" w:rsidR="00F77C78" w:rsidRDefault="00F77C78" w:rsidP="00514A44">
      <w:pPr>
        <w:spacing w:after="120"/>
      </w:pPr>
      <w:r>
        <w:t>NEPA</w:t>
      </w:r>
      <w:r w:rsidR="00797432">
        <w:tab/>
      </w:r>
      <w:r>
        <w:tab/>
        <w:t>National Environmental Policy Act</w:t>
      </w:r>
    </w:p>
    <w:p w14:paraId="12A374A5" w14:textId="77777777" w:rsidR="00F77C78" w:rsidRDefault="00F77C78" w:rsidP="00514A44">
      <w:pPr>
        <w:spacing w:after="120"/>
      </w:pPr>
      <w:r>
        <w:t>NESHAP</w:t>
      </w:r>
      <w:r>
        <w:tab/>
        <w:t>National Emission Standards for Hazardous Air Pollutants</w:t>
      </w:r>
    </w:p>
    <w:p w14:paraId="48E1C350" w14:textId="7DA74B8A" w:rsidR="00F77C78" w:rsidRDefault="00F77C78" w:rsidP="00514A44">
      <w:pPr>
        <w:spacing w:after="120"/>
      </w:pPr>
      <w:r>
        <w:t>NOPP</w:t>
      </w:r>
      <w:r w:rsidR="00797432">
        <w:tab/>
      </w:r>
      <w:r>
        <w:tab/>
        <w:t>Notice of Planned Participation</w:t>
      </w:r>
    </w:p>
    <w:p w14:paraId="08C1AB1B" w14:textId="2332C627" w:rsidR="00F77C78" w:rsidRDefault="00F77C78" w:rsidP="00514A44">
      <w:pPr>
        <w:spacing w:after="120"/>
      </w:pPr>
      <w:r>
        <w:t>NO2</w:t>
      </w:r>
      <w:r w:rsidR="00797432">
        <w:tab/>
      </w:r>
      <w:r>
        <w:tab/>
        <w:t>Nitrogen Dioxide</w:t>
      </w:r>
    </w:p>
    <w:p w14:paraId="5FAF8757" w14:textId="340DA806" w:rsidR="00F77C78" w:rsidRDefault="00F77C78" w:rsidP="00514A44">
      <w:pPr>
        <w:spacing w:after="120"/>
      </w:pPr>
      <w:r>
        <w:t>NO</w:t>
      </w:r>
      <w:r w:rsidR="00797432">
        <w:t>x</w:t>
      </w:r>
      <w:r w:rsidR="00797432">
        <w:tab/>
      </w:r>
      <w:r>
        <w:tab/>
        <w:t>Nitrogen Oxide</w:t>
      </w:r>
    </w:p>
    <w:p w14:paraId="3FBE2E87" w14:textId="3D27E35B" w:rsidR="00F77C78" w:rsidRDefault="00F77C78" w:rsidP="00514A44">
      <w:pPr>
        <w:spacing w:after="120"/>
      </w:pPr>
      <w:r>
        <w:t>NPDES</w:t>
      </w:r>
      <w:r w:rsidR="00797432">
        <w:tab/>
      </w:r>
      <w:r>
        <w:tab/>
        <w:t>National Pollutant Discharge Elimination System</w:t>
      </w:r>
    </w:p>
    <w:p w14:paraId="274A7C91" w14:textId="79C39225" w:rsidR="00F77C78" w:rsidRDefault="00F77C78" w:rsidP="00514A44">
      <w:pPr>
        <w:spacing w:after="120"/>
      </w:pPr>
      <w:r>
        <w:t>NSPS</w:t>
      </w:r>
      <w:r w:rsidR="00797432">
        <w:tab/>
      </w:r>
      <w:r>
        <w:tab/>
        <w:t>New Source Performance Standards</w:t>
      </w:r>
    </w:p>
    <w:p w14:paraId="7017E302" w14:textId="4D510ECD" w:rsidR="00F77C78" w:rsidRDefault="00F77C78" w:rsidP="00514A44">
      <w:pPr>
        <w:spacing w:after="120"/>
      </w:pPr>
      <w:r>
        <w:t>NSR</w:t>
      </w:r>
      <w:r w:rsidR="00797432">
        <w:tab/>
      </w:r>
      <w:r>
        <w:tab/>
        <w:t>New Source Review</w:t>
      </w:r>
    </w:p>
    <w:p w14:paraId="6701FD1B" w14:textId="60FBAF60" w:rsidR="00F77C78" w:rsidRDefault="00F77C78" w:rsidP="00514A44">
      <w:pPr>
        <w:spacing w:after="120"/>
      </w:pPr>
      <w:r>
        <w:t>NWP</w:t>
      </w:r>
      <w:r w:rsidR="00797432">
        <w:tab/>
      </w:r>
      <w:r>
        <w:tab/>
        <w:t>Nationwide Permits</w:t>
      </w:r>
    </w:p>
    <w:p w14:paraId="1339E772" w14:textId="137099B3" w:rsidR="00F77C78" w:rsidRDefault="00F77C78" w:rsidP="00514A44">
      <w:pPr>
        <w:spacing w:after="120"/>
      </w:pPr>
      <w:r>
        <w:lastRenderedPageBreak/>
        <w:t>NWPR</w:t>
      </w:r>
      <w:r w:rsidR="00797432">
        <w:tab/>
      </w:r>
      <w:r>
        <w:tab/>
        <w:t>Navigable Waters Protection Rule</w:t>
      </w:r>
    </w:p>
    <w:p w14:paraId="13E84A07" w14:textId="59740B7F" w:rsidR="00F77C78" w:rsidRDefault="00F77C78" w:rsidP="00514A44">
      <w:pPr>
        <w:spacing w:after="120"/>
      </w:pPr>
      <w:r>
        <w:t>OFA</w:t>
      </w:r>
      <w:r w:rsidR="00797432">
        <w:tab/>
      </w:r>
      <w:r>
        <w:tab/>
        <w:t>Overfire Air</w:t>
      </w:r>
    </w:p>
    <w:p w14:paraId="4E9096FF" w14:textId="0645C06F" w:rsidR="00F77C78" w:rsidRDefault="00F77C78" w:rsidP="00514A44">
      <w:pPr>
        <w:spacing w:after="120"/>
      </w:pPr>
      <w:r>
        <w:t>O&amp;M</w:t>
      </w:r>
      <w:r w:rsidR="00797432">
        <w:tab/>
      </w:r>
      <w:r>
        <w:tab/>
        <w:t>Operati</w:t>
      </w:r>
      <w:r w:rsidR="002E7DA5">
        <w:t>ons</w:t>
      </w:r>
      <w:r>
        <w:t xml:space="preserve"> and Maintenance </w:t>
      </w:r>
    </w:p>
    <w:p w14:paraId="3EC25D1C" w14:textId="1A7BBCE0" w:rsidR="00F77C78" w:rsidRDefault="00F77C78" w:rsidP="00514A44">
      <w:pPr>
        <w:spacing w:after="120"/>
      </w:pPr>
      <w:r>
        <w:t>PJFF</w:t>
      </w:r>
      <w:r w:rsidR="00797432">
        <w:tab/>
      </w:r>
      <w:r>
        <w:tab/>
        <w:t>Pulse Jet Fabric Filter</w:t>
      </w:r>
    </w:p>
    <w:p w14:paraId="2172B871" w14:textId="38F58521" w:rsidR="00F77C78" w:rsidRDefault="00F77C78" w:rsidP="00514A44">
      <w:pPr>
        <w:spacing w:after="120"/>
      </w:pPr>
      <w:r>
        <w:t>PM</w:t>
      </w:r>
      <w:r w:rsidR="00797432">
        <w:tab/>
      </w:r>
      <w:r>
        <w:tab/>
        <w:t>Particulate Matter</w:t>
      </w:r>
    </w:p>
    <w:p w14:paraId="1D2B018C" w14:textId="3D03E54A" w:rsidR="00F77C78" w:rsidRDefault="00F77C78" w:rsidP="00514A44">
      <w:pPr>
        <w:spacing w:after="120"/>
      </w:pPr>
      <w:r>
        <w:t>PM2.5</w:t>
      </w:r>
      <w:r w:rsidR="00797432">
        <w:tab/>
      </w:r>
      <w:r>
        <w:tab/>
        <w:t>Particulate Matter less than 2.5 micrometers in size</w:t>
      </w:r>
    </w:p>
    <w:p w14:paraId="5CB04825" w14:textId="17A4131C" w:rsidR="00F77C78" w:rsidRDefault="00F77C78" w:rsidP="00514A44">
      <w:pPr>
        <w:spacing w:after="120"/>
      </w:pPr>
      <w:r>
        <w:t>PRB</w:t>
      </w:r>
      <w:r w:rsidR="00797432">
        <w:tab/>
      </w:r>
      <w:r>
        <w:tab/>
        <w:t>Powder River Basin Coal</w:t>
      </w:r>
    </w:p>
    <w:p w14:paraId="508E26BB" w14:textId="316FFFF8" w:rsidR="00F77C78" w:rsidRDefault="00F77C78" w:rsidP="00514A44">
      <w:pPr>
        <w:spacing w:after="120"/>
      </w:pPr>
      <w:r>
        <w:t>PSC</w:t>
      </w:r>
      <w:r w:rsidR="00797432">
        <w:tab/>
      </w:r>
      <w:r>
        <w:tab/>
        <w:t>Georgia Public Service Commission</w:t>
      </w:r>
    </w:p>
    <w:p w14:paraId="176543FB" w14:textId="6D742AE0" w:rsidR="00F77C78" w:rsidRDefault="00F77C78" w:rsidP="00514A44">
      <w:pPr>
        <w:spacing w:after="120"/>
      </w:pPr>
      <w:r>
        <w:t>PSD</w:t>
      </w:r>
      <w:r w:rsidR="00797432">
        <w:tab/>
      </w:r>
      <w:r>
        <w:tab/>
        <w:t xml:space="preserve">Prevention of Significant Deterioration </w:t>
      </w:r>
    </w:p>
    <w:p w14:paraId="3FFC803E" w14:textId="639A0727" w:rsidR="00F77C78" w:rsidRDefault="00F77C78" w:rsidP="00514A44">
      <w:pPr>
        <w:spacing w:after="120"/>
      </w:pPr>
      <w:r>
        <w:t>R&amp;D</w:t>
      </w:r>
      <w:r w:rsidR="00797432">
        <w:tab/>
      </w:r>
      <w:r>
        <w:tab/>
        <w:t xml:space="preserve">Research and Development </w:t>
      </w:r>
    </w:p>
    <w:p w14:paraId="636C5363" w14:textId="02F0C591" w:rsidR="00F77C78" w:rsidRDefault="00F77C78" w:rsidP="00514A44">
      <w:pPr>
        <w:spacing w:after="120"/>
      </w:pPr>
      <w:r>
        <w:t>RFP</w:t>
      </w:r>
      <w:r w:rsidR="00797432">
        <w:tab/>
      </w:r>
      <w:r>
        <w:tab/>
        <w:t>Request for Proposals</w:t>
      </w:r>
    </w:p>
    <w:p w14:paraId="08151CAA" w14:textId="1D51FD7C" w:rsidR="00F77C78" w:rsidRDefault="00F77C78" w:rsidP="00514A44">
      <w:pPr>
        <w:spacing w:after="120"/>
      </w:pPr>
      <w:r>
        <w:t>RCRA</w:t>
      </w:r>
      <w:r w:rsidR="00797432">
        <w:tab/>
      </w:r>
      <w:r>
        <w:tab/>
        <w:t>Resource Conservation and Recovery Act</w:t>
      </w:r>
    </w:p>
    <w:p w14:paraId="2CF95F87" w14:textId="6D764E4B" w:rsidR="00F77C78" w:rsidRDefault="00F77C78" w:rsidP="00514A44">
      <w:pPr>
        <w:spacing w:after="120"/>
      </w:pPr>
      <w:r>
        <w:t>RMDC</w:t>
      </w:r>
      <w:r w:rsidR="00797432">
        <w:tab/>
      </w:r>
      <w:r>
        <w:tab/>
        <w:t>Remote Mechanical Drag Chain</w:t>
      </w:r>
    </w:p>
    <w:p w14:paraId="2B5BA7CD" w14:textId="5D526871" w:rsidR="00F77C78" w:rsidRDefault="00F77C78" w:rsidP="00514A44">
      <w:pPr>
        <w:spacing w:after="120"/>
      </w:pPr>
      <w:r>
        <w:t>RTR</w:t>
      </w:r>
      <w:r w:rsidR="00797432">
        <w:tab/>
      </w:r>
      <w:r>
        <w:tab/>
        <w:t>Risk and Technology Review</w:t>
      </w:r>
    </w:p>
    <w:p w14:paraId="3D16D78D" w14:textId="3AA76F48" w:rsidR="00F77C78" w:rsidRDefault="00F77C78" w:rsidP="00514A44">
      <w:pPr>
        <w:spacing w:after="120"/>
      </w:pPr>
      <w:r>
        <w:t>SCR</w:t>
      </w:r>
      <w:r w:rsidR="00797432">
        <w:tab/>
      </w:r>
      <w:r>
        <w:tab/>
        <w:t>Selective Catalytic Reduction</w:t>
      </w:r>
    </w:p>
    <w:p w14:paraId="3AF4DC48" w14:textId="42617258" w:rsidR="00F77C78" w:rsidRDefault="00F77C78" w:rsidP="00514A44">
      <w:pPr>
        <w:spacing w:after="120"/>
      </w:pPr>
      <w:r>
        <w:t>SC-GHG</w:t>
      </w:r>
      <w:r w:rsidR="00797432">
        <w:tab/>
      </w:r>
      <w:r>
        <w:tab/>
        <w:t>Social Cost of Greenhouse Gases</w:t>
      </w:r>
    </w:p>
    <w:p w14:paraId="26263246" w14:textId="60620C1A" w:rsidR="003B424F" w:rsidRDefault="003B424F" w:rsidP="00514A44">
      <w:pPr>
        <w:spacing w:after="120"/>
      </w:pPr>
      <w:r>
        <w:t>SEC</w:t>
      </w:r>
      <w:r>
        <w:tab/>
      </w:r>
      <w:r>
        <w:tab/>
        <w:t>Securities and Exchange Commission</w:t>
      </w:r>
    </w:p>
    <w:p w14:paraId="0625B9E4" w14:textId="6955F526" w:rsidR="00F77C78" w:rsidRDefault="00F77C78" w:rsidP="00514A44">
      <w:pPr>
        <w:spacing w:after="120"/>
      </w:pPr>
      <w:r>
        <w:t>SIP</w:t>
      </w:r>
      <w:r w:rsidR="00797432">
        <w:tab/>
      </w:r>
      <w:r>
        <w:tab/>
        <w:t>State Implementation Plan</w:t>
      </w:r>
    </w:p>
    <w:p w14:paraId="219A47CA" w14:textId="6436AA28" w:rsidR="00F77C78" w:rsidRDefault="00F77C78" w:rsidP="00514A44">
      <w:pPr>
        <w:spacing w:after="120"/>
      </w:pPr>
      <w:r>
        <w:t>SNCR</w:t>
      </w:r>
      <w:r w:rsidR="00797432">
        <w:tab/>
      </w:r>
      <w:r>
        <w:tab/>
        <w:t>Selective Non-Catalytic Reduction</w:t>
      </w:r>
    </w:p>
    <w:p w14:paraId="1F56FBDE" w14:textId="5FB5AD05" w:rsidR="00F77C78" w:rsidRDefault="00F77C78" w:rsidP="00514A44">
      <w:pPr>
        <w:spacing w:after="120"/>
      </w:pPr>
      <w:r>
        <w:t>SO2</w:t>
      </w:r>
      <w:r w:rsidR="00797432">
        <w:tab/>
      </w:r>
      <w:r>
        <w:tab/>
        <w:t>Sulfur Dioxide</w:t>
      </w:r>
    </w:p>
    <w:p w14:paraId="67F1E87B" w14:textId="456935C0" w:rsidR="00F77C78" w:rsidRDefault="00F77C78" w:rsidP="00514A44">
      <w:pPr>
        <w:spacing w:after="120"/>
      </w:pPr>
      <w:r>
        <w:t>SSM</w:t>
      </w:r>
      <w:r w:rsidR="00797432">
        <w:tab/>
      </w:r>
      <w:r>
        <w:tab/>
        <w:t>Startup, Shutdown, Malfunction</w:t>
      </w:r>
    </w:p>
    <w:p w14:paraId="6AA1111A" w14:textId="4B2CE272" w:rsidR="00F77C78" w:rsidRDefault="00F77C78" w:rsidP="00514A44">
      <w:pPr>
        <w:spacing w:after="120"/>
      </w:pPr>
      <w:r>
        <w:t>TWS</w:t>
      </w:r>
      <w:r w:rsidR="00797432">
        <w:tab/>
      </w:r>
      <w:r>
        <w:tab/>
        <w:t>Traveling Water Screens</w:t>
      </w:r>
    </w:p>
    <w:p w14:paraId="4394F89D" w14:textId="77777777" w:rsidR="00F77C78" w:rsidRDefault="00F77C78" w:rsidP="00514A44">
      <w:pPr>
        <w:spacing w:after="120"/>
      </w:pPr>
      <w:r>
        <w:t>UNFCCC</w:t>
      </w:r>
      <w:r>
        <w:tab/>
        <w:t xml:space="preserve">United Nations Framework Convention on Climate Change </w:t>
      </w:r>
    </w:p>
    <w:p w14:paraId="1EB2E8EB" w14:textId="4C799EE8" w:rsidR="00F77C78" w:rsidRDefault="00F77C78" w:rsidP="00514A44">
      <w:pPr>
        <w:spacing w:after="120"/>
      </w:pPr>
      <w:r>
        <w:t>USWAG</w:t>
      </w:r>
      <w:r w:rsidR="00797432">
        <w:tab/>
      </w:r>
      <w:r>
        <w:tab/>
        <w:t>Utility Solid Waste Activities Group</w:t>
      </w:r>
    </w:p>
    <w:p w14:paraId="60819B75" w14:textId="3B5EDCC1" w:rsidR="00F77C78" w:rsidRDefault="00F77C78" w:rsidP="00514A44">
      <w:pPr>
        <w:spacing w:after="120"/>
      </w:pPr>
      <w:r>
        <w:t>VIP</w:t>
      </w:r>
      <w:r w:rsidR="00797432">
        <w:tab/>
      </w:r>
      <w:r>
        <w:tab/>
        <w:t>Voluntary Incentive Program</w:t>
      </w:r>
    </w:p>
    <w:p w14:paraId="1678F9C0" w14:textId="2D658789" w:rsidR="00F77C78" w:rsidRDefault="00F77C78" w:rsidP="00514A44">
      <w:pPr>
        <w:spacing w:after="120"/>
      </w:pPr>
      <w:r>
        <w:t>VOC</w:t>
      </w:r>
      <w:r w:rsidR="00797432">
        <w:tab/>
      </w:r>
      <w:r>
        <w:tab/>
        <w:t>Volatile Organic Compound</w:t>
      </w:r>
      <w:r w:rsidR="00797432">
        <w:t>s</w:t>
      </w:r>
    </w:p>
    <w:p w14:paraId="5D3A9540" w14:textId="77777777" w:rsidR="00F77C78" w:rsidRDefault="00F77C78" w:rsidP="00514A44">
      <w:pPr>
        <w:spacing w:after="120"/>
      </w:pPr>
      <w:r>
        <w:t>WIIN Act</w:t>
      </w:r>
      <w:r>
        <w:tab/>
        <w:t>Water Infrastructure Improvements for the Nation Act</w:t>
      </w:r>
    </w:p>
    <w:p w14:paraId="657EA835" w14:textId="04366B3E" w:rsidR="00F77C78" w:rsidRDefault="00F77C78" w:rsidP="00514A44">
      <w:pPr>
        <w:spacing w:after="120"/>
      </w:pPr>
      <w:r>
        <w:t>WOTUS</w:t>
      </w:r>
      <w:r w:rsidR="00797432">
        <w:tab/>
      </w:r>
      <w:r>
        <w:tab/>
        <w:t>Waters of the U.S.</w:t>
      </w:r>
    </w:p>
    <w:p w14:paraId="131D272D" w14:textId="07E6E40D" w:rsidR="00F77C78" w:rsidRDefault="00F77C78" w:rsidP="00514A44">
      <w:pPr>
        <w:spacing w:after="120"/>
      </w:pPr>
      <w:r>
        <w:t>WRC</w:t>
      </w:r>
      <w:r w:rsidR="00797432">
        <w:tab/>
      </w:r>
      <w:r>
        <w:tab/>
        <w:t>Water Research Center</w:t>
      </w:r>
    </w:p>
    <w:p w14:paraId="4C493BF0" w14:textId="7B6235C8" w:rsidR="00F77C78" w:rsidRPr="00F77C78" w:rsidRDefault="00F77C78" w:rsidP="00514A44">
      <w:pPr>
        <w:spacing w:after="120"/>
      </w:pPr>
      <w:r>
        <w:t>WRCC</w:t>
      </w:r>
      <w:r w:rsidR="00797432">
        <w:tab/>
      </w:r>
      <w:r>
        <w:tab/>
        <w:t>Water Research and Conservation Center</w:t>
      </w:r>
    </w:p>
    <w:p w14:paraId="3A68A318" w14:textId="77777777" w:rsidR="000D33E9" w:rsidRDefault="000D33E9" w:rsidP="00514A44">
      <w:pPr>
        <w:spacing w:after="120" w:line="240" w:lineRule="auto"/>
        <w:jc w:val="left"/>
        <w:rPr>
          <w:rFonts w:cs="Arial"/>
          <w:bCs/>
          <w:color w:val="000000"/>
          <w:szCs w:val="24"/>
        </w:rPr>
      </w:pPr>
      <w:r>
        <w:rPr>
          <w:rFonts w:cs="Arial"/>
          <w:bCs/>
          <w:color w:val="000000"/>
          <w:szCs w:val="24"/>
        </w:rPr>
        <w:br w:type="page"/>
      </w:r>
    </w:p>
    <w:p w14:paraId="11E33BAF" w14:textId="564A2C0F" w:rsidR="00EE3636" w:rsidRDefault="00EE3636" w:rsidP="00EE3636">
      <w:pPr>
        <w:pStyle w:val="Heading1"/>
        <w:spacing w:before="120" w:after="0"/>
        <w:rPr>
          <w:rFonts w:eastAsia="Arial"/>
          <w:b/>
          <w:bCs/>
          <w:sz w:val="32"/>
          <w:szCs w:val="32"/>
        </w:rPr>
      </w:pPr>
      <w:bookmarkStart w:id="80" w:name="_Toc130201025"/>
      <w:r>
        <w:rPr>
          <w:rFonts w:eastAsia="Arial"/>
          <w:b/>
          <w:bCs/>
          <w:sz w:val="32"/>
          <w:szCs w:val="32"/>
        </w:rPr>
        <w:lastRenderedPageBreak/>
        <w:t xml:space="preserve">ECS - </w:t>
      </w:r>
      <w:r w:rsidRPr="00F77C78">
        <w:rPr>
          <w:rFonts w:eastAsia="Arial"/>
          <w:b/>
          <w:bCs/>
          <w:sz w:val="32"/>
          <w:szCs w:val="32"/>
        </w:rPr>
        <w:t xml:space="preserve">Appendix </w:t>
      </w:r>
      <w:r>
        <w:rPr>
          <w:rFonts w:eastAsia="Arial"/>
          <w:b/>
          <w:bCs/>
          <w:sz w:val="32"/>
          <w:szCs w:val="32"/>
        </w:rPr>
        <w:t>C</w:t>
      </w:r>
      <w:r w:rsidRPr="00F77C78">
        <w:rPr>
          <w:rFonts w:eastAsia="Arial"/>
          <w:b/>
          <w:bCs/>
          <w:sz w:val="32"/>
          <w:szCs w:val="32"/>
        </w:rPr>
        <w:t xml:space="preserve"> – </w:t>
      </w:r>
      <w:r>
        <w:rPr>
          <w:rFonts w:eastAsia="Arial"/>
          <w:b/>
          <w:bCs/>
          <w:sz w:val="32"/>
          <w:szCs w:val="32"/>
        </w:rPr>
        <w:t>R&amp;D and Environmental Control Alternatives</w:t>
      </w:r>
      <w:bookmarkEnd w:id="80"/>
    </w:p>
    <w:p w14:paraId="61E6A329" w14:textId="77777777" w:rsidR="002A71B8" w:rsidRDefault="002A71B8" w:rsidP="00C942DB">
      <w:pPr>
        <w:spacing w:before="120" w:after="0" w:line="240" w:lineRule="auto"/>
      </w:pPr>
      <w:r w:rsidRPr="00DB7156">
        <w:t xml:space="preserve">Research and </w:t>
      </w:r>
      <w:r>
        <w:t>D</w:t>
      </w:r>
      <w:r w:rsidRPr="00DB7156">
        <w:t xml:space="preserve">evelopment </w:t>
      </w:r>
      <w:r>
        <w:t xml:space="preserve">(“R&amp;D”) continues to be </w:t>
      </w:r>
      <w:r w:rsidRPr="00DB7156">
        <w:t xml:space="preserve">an integral part of the overall Georgia Power environmental strategy and compliance plan. Through research, </w:t>
      </w:r>
      <w:r>
        <w:t xml:space="preserve">development, and demonstration, </w:t>
      </w:r>
      <w:r w:rsidRPr="00DB7156">
        <w:t>technologies are evaluated, and selected for possible implementation to meet compliance with federal and state regulatory requirements. Technology-related decisions are made based on compliance alternatives, technical review (often following actual testing), schedules, equipment-vendor price quotes, total costs over the useful life, specific unit issues, and performance guarantees. Operations, maintenance, and cost</w:t>
      </w:r>
      <w:r>
        <w:t>-</w:t>
      </w:r>
      <w:r w:rsidRPr="00DB7156">
        <w:t xml:space="preserve">effectiveness are important parts of the decision-making process.  </w:t>
      </w:r>
    </w:p>
    <w:p w14:paraId="05D9ABD5" w14:textId="352EA99E" w:rsidR="002A71B8" w:rsidRDefault="002A71B8" w:rsidP="00C942DB">
      <w:pPr>
        <w:spacing w:before="120" w:after="0" w:line="240" w:lineRule="auto"/>
      </w:pPr>
      <w:r w:rsidRPr="00DB7156">
        <w:t xml:space="preserve">Since </w:t>
      </w:r>
      <w:r>
        <w:t>the implementation of the Clean Air Act Amendments of 1990</w:t>
      </w:r>
      <w:r w:rsidRPr="00DB7156">
        <w:t xml:space="preserve">, </w:t>
      </w:r>
      <w:r>
        <w:t>R&amp;D</w:t>
      </w:r>
      <w:r w:rsidRPr="00DB7156">
        <w:t xml:space="preserve"> </w:t>
      </w:r>
      <w:r>
        <w:t>has</w:t>
      </w:r>
      <w:r w:rsidRPr="00DB7156">
        <w:t xml:space="preserve"> been crucial </w:t>
      </w:r>
      <w:r w:rsidR="000F0AB2">
        <w:t xml:space="preserve">in </w:t>
      </w:r>
      <w:r w:rsidRPr="00DB7156">
        <w:t>assuring that the best</w:t>
      </w:r>
      <w:r>
        <w:t>-</w:t>
      </w:r>
      <w:r w:rsidRPr="00DB7156">
        <w:t>possible environmental compliance strategies are selected for implementation at Georgia Power.</w:t>
      </w:r>
      <w:r w:rsidR="0052049E">
        <w:t xml:space="preserve"> </w:t>
      </w:r>
      <w:r>
        <w:t>Georgia Power and Southern Company leverage</w:t>
      </w:r>
      <w:r w:rsidRPr="00DB7156">
        <w:t xml:space="preserve"> </w:t>
      </w:r>
      <w:r>
        <w:t xml:space="preserve">existing knowledge through </w:t>
      </w:r>
      <w:r w:rsidRPr="00DB7156">
        <w:t>industry affiliations across the U.S. and around the world</w:t>
      </w:r>
      <w:r>
        <w:t xml:space="preserve"> to identify these opportunities and help reach cost-effective paths forward.</w:t>
      </w:r>
      <w:r w:rsidRPr="00DB7156" w:rsidDel="009905E4">
        <w:t xml:space="preserve"> </w:t>
      </w:r>
      <w:r w:rsidRPr="00DB7156">
        <w:t xml:space="preserve">To minimize cost and risk, only proven technologies should be implemented commercially. These industry R&amp;D efforts </w:t>
      </w:r>
      <w:r>
        <w:t>have successfully</w:t>
      </w:r>
      <w:r w:rsidRPr="00DB7156">
        <w:t xml:space="preserve"> test</w:t>
      </w:r>
      <w:r>
        <w:t>ed</w:t>
      </w:r>
      <w:r w:rsidRPr="00DB7156">
        <w:t xml:space="preserve"> low-NO</w:t>
      </w:r>
      <w:r w:rsidRPr="00DB7156">
        <w:rPr>
          <w:vertAlign w:val="subscript"/>
        </w:rPr>
        <w:t>X</w:t>
      </w:r>
      <w:r w:rsidRPr="00DB7156">
        <w:t xml:space="preserve"> burners, precipitators, catalyst materials for</w:t>
      </w:r>
      <w:r>
        <w:t xml:space="preserve"> </w:t>
      </w:r>
      <w:r w:rsidR="006079D7">
        <w:t>SCRs</w:t>
      </w:r>
      <w:r w:rsidRPr="00DB7156">
        <w:t xml:space="preserve">, </w:t>
      </w:r>
      <w:r w:rsidR="003540B1">
        <w:t>scrubbers</w:t>
      </w:r>
      <w:r w:rsidRPr="00DB7156">
        <w:t xml:space="preserve">, mercury reduction systems, </w:t>
      </w:r>
      <w:r>
        <w:t xml:space="preserve">wastewater treatment systems, water balance optimization measures, ash beneficial use, </w:t>
      </w:r>
      <w:r w:rsidRPr="00DB7156">
        <w:t>and other equipment and have contributed to Georgia Power’s ability to meet stringent requirements while continuing to provide affordable energy for customers</w:t>
      </w:r>
      <w:r>
        <w:t xml:space="preserve">. Insight from this research benefited vendor and material selection, construction, and long-term operation, efficiency, and flexibility.   </w:t>
      </w:r>
    </w:p>
    <w:p w14:paraId="455FB05B" w14:textId="41304000" w:rsidR="0052049E" w:rsidRPr="00DB7156" w:rsidRDefault="0052049E" w:rsidP="0052049E">
      <w:pPr>
        <w:spacing w:before="120" w:after="0" w:line="240" w:lineRule="auto"/>
      </w:pPr>
      <w:r>
        <w:t>This appendix describes R&amp;D efforts related to water, ash beneficial use, and carbon emissions</w:t>
      </w:r>
      <w:r w:rsidR="00606B63">
        <w:t xml:space="preserve"> and</w:t>
      </w:r>
      <w:r w:rsidR="00E42A78">
        <w:t xml:space="preserve"> </w:t>
      </w:r>
      <w:r w:rsidRPr="00DB7156">
        <w:t xml:space="preserve">provides a list of </w:t>
      </w:r>
      <w:r>
        <w:t xml:space="preserve">control </w:t>
      </w:r>
      <w:r w:rsidRPr="00DB7156">
        <w:t>technologies considered in an ongoing effort to meet mandated requirements in a timely manner, maintain system reliability, and assure cost-effective generation for customers.</w:t>
      </w:r>
    </w:p>
    <w:p w14:paraId="0AA1C14E" w14:textId="4732C803" w:rsidR="002A71B8" w:rsidRPr="00D33640" w:rsidRDefault="002A71B8" w:rsidP="00C942DB">
      <w:pPr>
        <w:pStyle w:val="Heading3"/>
        <w:spacing w:before="120"/>
        <w:rPr>
          <w:b/>
          <w:bCs/>
          <w:sz w:val="24"/>
          <w:szCs w:val="24"/>
        </w:rPr>
      </w:pPr>
      <w:bookmarkStart w:id="81" w:name="_Toc94197866"/>
      <w:bookmarkStart w:id="82" w:name="_Toc126509252"/>
      <w:bookmarkStart w:id="83" w:name="_Toc130201026"/>
      <w:r w:rsidRPr="00D33640">
        <w:rPr>
          <w:b/>
          <w:bCs/>
          <w:sz w:val="24"/>
          <w:szCs w:val="24"/>
        </w:rPr>
        <w:t>Water Research and Conservation Center</w:t>
      </w:r>
      <w:bookmarkEnd w:id="81"/>
      <w:bookmarkEnd w:id="82"/>
      <w:bookmarkEnd w:id="83"/>
      <w:r w:rsidRPr="00D33640">
        <w:rPr>
          <w:b/>
          <w:bCs/>
          <w:sz w:val="24"/>
          <w:szCs w:val="24"/>
        </w:rPr>
        <w:t xml:space="preserve"> </w:t>
      </w:r>
    </w:p>
    <w:p w14:paraId="7A818647" w14:textId="5C3C23AA" w:rsidR="002A71B8" w:rsidRPr="006D51D9" w:rsidRDefault="002A71B8" w:rsidP="00C942DB">
      <w:pPr>
        <w:spacing w:before="120" w:after="0" w:line="240" w:lineRule="auto"/>
        <w:rPr>
          <w:rFonts w:eastAsia="Calibri" w:cs="Arial"/>
        </w:rPr>
      </w:pPr>
      <w:r w:rsidRPr="015F527C">
        <w:t xml:space="preserve">Originally developed in 2012 through collaboration with </w:t>
      </w:r>
      <w:r>
        <w:t>the Electric Power Research Institute (“EPRI”)</w:t>
      </w:r>
      <w:r w:rsidRPr="015F527C">
        <w:t xml:space="preserve"> and Southern Company,</w:t>
      </w:r>
      <w:r>
        <w:t xml:space="preserve"> </w:t>
      </w:r>
      <w:r w:rsidRPr="015F527C">
        <w:t xml:space="preserve">the Water Research Center (“WRC”) at Plant Bowen provided a venue for technology evaluations to address water use, withdrawal, consumption, treatment, and recycling throughout the power generation process. The WRC generated information regarding current and future regulatory compliance issues related to water withdrawal, use, and discharge restrictions </w:t>
      </w:r>
      <w:r w:rsidR="005324E8">
        <w:t>that will</w:t>
      </w:r>
      <w:r w:rsidRPr="015F527C" w:rsidDel="005324E8">
        <w:t xml:space="preserve"> </w:t>
      </w:r>
      <w:r w:rsidRPr="00E966A5">
        <w:t>direct</w:t>
      </w:r>
      <w:r w:rsidR="005324E8">
        <w:t>ly</w:t>
      </w:r>
      <w:r w:rsidRPr="00E966A5">
        <w:t xml:space="preserve"> support the Company’s ongoing evaluation of the </w:t>
      </w:r>
      <w:r w:rsidR="00E904D2">
        <w:rPr>
          <w:rFonts w:eastAsia="Calibri" w:cs="Arial"/>
        </w:rPr>
        <w:t xml:space="preserve">anticipated </w:t>
      </w:r>
      <w:r w:rsidR="008D4775">
        <w:rPr>
          <w:rFonts w:eastAsia="Calibri" w:cs="Arial"/>
        </w:rPr>
        <w:t xml:space="preserve">2024 </w:t>
      </w:r>
      <w:r w:rsidR="00E904D2">
        <w:rPr>
          <w:rFonts w:eastAsia="Calibri" w:cs="Arial"/>
        </w:rPr>
        <w:t>ELG Final Rule</w:t>
      </w:r>
      <w:r w:rsidR="00E904D2" w:rsidRPr="00E966A5">
        <w:t xml:space="preserve"> </w:t>
      </w:r>
      <w:r w:rsidRPr="00E966A5">
        <w:t xml:space="preserve">and associated strategy. </w:t>
      </w:r>
      <w:r w:rsidR="002D2F1D">
        <w:rPr>
          <w:rFonts w:eastAsia="Calibri" w:cs="Arial"/>
        </w:rPr>
        <w:t>Work completed at the WRC will be used to inform technology decisions for compliance</w:t>
      </w:r>
      <w:r w:rsidR="000C3B63">
        <w:rPr>
          <w:rFonts w:eastAsia="Calibri" w:cs="Arial"/>
        </w:rPr>
        <w:t>.</w:t>
      </w:r>
      <w:r w:rsidR="002D2F1D">
        <w:rPr>
          <w:rFonts w:eastAsia="Calibri" w:cs="Arial"/>
        </w:rPr>
        <w:t xml:space="preserve"> </w:t>
      </w:r>
      <w:r w:rsidRPr="00EA7201">
        <w:t xml:space="preserve"> </w:t>
      </w:r>
      <w:r w:rsidRPr="1F9EA5FF">
        <w:t xml:space="preserve">Due to the success of the WRC, Southern Company and EPRI </w:t>
      </w:r>
      <w:r>
        <w:t>expanded the WRC to the</w:t>
      </w:r>
      <w:r w:rsidRPr="1F9EA5FF">
        <w:t xml:space="preserve"> Water Research and Conservation Center (“WRCC”)</w:t>
      </w:r>
      <w:r w:rsidR="00AF5CC4">
        <w:t>,</w:t>
      </w:r>
      <w:r w:rsidRPr="1F9EA5FF">
        <w:t xml:space="preserve"> </w:t>
      </w:r>
      <w:r w:rsidR="00D04803">
        <w:t>build</w:t>
      </w:r>
      <w:r>
        <w:t>ing a state-of-the</w:t>
      </w:r>
      <w:r w:rsidR="00C10277">
        <w:t>-</w:t>
      </w:r>
      <w:r>
        <w:t xml:space="preserve">art facility </w:t>
      </w:r>
      <w:r w:rsidRPr="1F9EA5FF">
        <w:t xml:space="preserve">at </w:t>
      </w:r>
      <w:r w:rsidR="0026314C">
        <w:t xml:space="preserve">Georgia Power’s </w:t>
      </w:r>
      <w:r w:rsidRPr="1F9EA5FF">
        <w:t>Plant McDonough. This research center provides the infrastructure needed to test and identify promising water technologies. To better manage and conserve water across our thermoelectric power generation sites, the WRCC promotes advancements in power plant cooling systems leading to reduced water withdrawal and consumption as well as improved plant efficiency while optimizing total cost and energy generation.</w:t>
      </w:r>
    </w:p>
    <w:p w14:paraId="12626989" w14:textId="63DD7E9E" w:rsidR="00DE0720" w:rsidRDefault="00117E9A" w:rsidP="00C942DB">
      <w:pPr>
        <w:spacing w:before="120" w:after="0" w:line="240" w:lineRule="auto"/>
        <w:rPr>
          <w:rFonts w:eastAsia="Calibri" w:cs="Arial"/>
        </w:rPr>
      </w:pPr>
      <w:r>
        <w:t xml:space="preserve">Since </w:t>
      </w:r>
      <w:r w:rsidR="008F589C">
        <w:t>the</w:t>
      </w:r>
      <w:r>
        <w:t xml:space="preserve"> operational start</w:t>
      </w:r>
      <w:r w:rsidR="008F589C">
        <w:t xml:space="preserve"> of the WRCC</w:t>
      </w:r>
      <w:r>
        <w:t xml:space="preserve"> in 2020, s</w:t>
      </w:r>
      <w:r w:rsidR="008D5A18" w:rsidRPr="00A832BB">
        <w:rPr>
          <w:rFonts w:eastAsia="Calibri" w:cs="Arial"/>
        </w:rPr>
        <w:t xml:space="preserve">everal projects have been completed including an evaluation of condenser tube coatings and surface modifications in the Heat Transfer Loop (“HTL”) as part of a </w:t>
      </w:r>
      <w:r w:rsidR="00445F53" w:rsidRPr="00A832BB">
        <w:rPr>
          <w:rFonts w:eastAsia="Calibri" w:cs="Arial"/>
        </w:rPr>
        <w:t>DOE-</w:t>
      </w:r>
      <w:r w:rsidR="008D5A18" w:rsidRPr="00A832BB">
        <w:rPr>
          <w:rFonts w:eastAsia="Calibri" w:cs="Arial"/>
        </w:rPr>
        <w:t xml:space="preserve">funded </w:t>
      </w:r>
      <w:r w:rsidR="00445F53" w:rsidRPr="00A832BB">
        <w:rPr>
          <w:rFonts w:eastAsia="Calibri" w:cs="Arial"/>
        </w:rPr>
        <w:t>project</w:t>
      </w:r>
      <w:r w:rsidR="008D5A18" w:rsidRPr="00A832BB">
        <w:rPr>
          <w:rFonts w:eastAsia="Calibri" w:cs="Arial"/>
        </w:rPr>
        <w:t xml:space="preserve"> to investigate technologies to improve heat transfer and mitigate heat transfer losses due to condenser tube fouling. Other completed projects at the WRCC include a non-chlorine biocide, as well as a technology to monitor deposition on heat transfer surfaces for better identification and control of fouling. </w:t>
      </w:r>
      <w:r w:rsidR="00083203">
        <w:rPr>
          <w:rFonts w:eastAsia="Calibri" w:cs="Arial"/>
        </w:rPr>
        <w:t>Several ongoing and upcoming</w:t>
      </w:r>
      <w:r w:rsidR="00E91DF5">
        <w:rPr>
          <w:rFonts w:eastAsia="Calibri" w:cs="Arial"/>
        </w:rPr>
        <w:t xml:space="preserve"> projects include </w:t>
      </w:r>
      <w:r w:rsidR="00463DAC">
        <w:rPr>
          <w:rFonts w:eastAsia="Calibri" w:cs="Arial"/>
        </w:rPr>
        <w:t xml:space="preserve">testing a </w:t>
      </w:r>
      <w:r w:rsidR="00A703A6">
        <w:rPr>
          <w:rFonts w:eastAsia="Calibri" w:cs="Arial"/>
        </w:rPr>
        <w:t>set of enhanced condenser tubes that can significantly improve condenser performance</w:t>
      </w:r>
      <w:r w:rsidR="00F538DA">
        <w:rPr>
          <w:rFonts w:eastAsia="Calibri" w:cs="Arial"/>
        </w:rPr>
        <w:t>, a DOE-funded project focused on improving per</w:t>
      </w:r>
      <w:r w:rsidR="005D76DE">
        <w:rPr>
          <w:rFonts w:eastAsia="Calibri" w:cs="Arial"/>
        </w:rPr>
        <w:t xml:space="preserve">formance of air-cooled condensers, </w:t>
      </w:r>
      <w:r w:rsidR="0043655A">
        <w:rPr>
          <w:rFonts w:eastAsia="Calibri" w:cs="Arial"/>
        </w:rPr>
        <w:t>and water treatment evaluations.</w:t>
      </w:r>
    </w:p>
    <w:p w14:paraId="438CFE56" w14:textId="548F5A5E" w:rsidR="002A71B8" w:rsidRPr="00D33640" w:rsidRDefault="002A71B8" w:rsidP="00C942DB">
      <w:pPr>
        <w:pStyle w:val="Heading3"/>
        <w:spacing w:before="120"/>
        <w:rPr>
          <w:b/>
          <w:bCs/>
          <w:sz w:val="24"/>
          <w:szCs w:val="24"/>
        </w:rPr>
      </w:pPr>
      <w:bookmarkStart w:id="84" w:name="_Toc94197867"/>
      <w:bookmarkStart w:id="85" w:name="_Toc126509253"/>
      <w:bookmarkStart w:id="86" w:name="_Toc130201027"/>
      <w:r w:rsidRPr="00D33640">
        <w:rPr>
          <w:b/>
          <w:bCs/>
          <w:sz w:val="24"/>
          <w:szCs w:val="24"/>
        </w:rPr>
        <w:lastRenderedPageBreak/>
        <w:t>Ash Beneficial Use Center</w:t>
      </w:r>
      <w:bookmarkEnd w:id="84"/>
      <w:bookmarkEnd w:id="85"/>
      <w:bookmarkEnd w:id="86"/>
      <w:r w:rsidRPr="00D33640">
        <w:rPr>
          <w:b/>
          <w:bCs/>
          <w:sz w:val="24"/>
          <w:szCs w:val="24"/>
        </w:rPr>
        <w:t xml:space="preserve"> </w:t>
      </w:r>
    </w:p>
    <w:p w14:paraId="1305FC57" w14:textId="3E259F47" w:rsidR="002A71B8" w:rsidRPr="00551362" w:rsidRDefault="002A71B8" w:rsidP="00C942DB">
      <w:pPr>
        <w:spacing w:before="120" w:after="0" w:line="240" w:lineRule="auto"/>
        <w:rPr>
          <w:rFonts w:eastAsia="Times New Roman"/>
        </w:rPr>
      </w:pPr>
      <w:bookmarkStart w:id="87" w:name="_Hlk535655759"/>
      <w:r>
        <w:t>The</w:t>
      </w:r>
      <w:r w:rsidRPr="0084580B">
        <w:t xml:space="preserve"> Company</w:t>
      </w:r>
      <w:r>
        <w:t>,</w:t>
      </w:r>
      <w:r w:rsidRPr="0084580B">
        <w:t xml:space="preserve"> </w:t>
      </w:r>
      <w:r>
        <w:t xml:space="preserve">in partnership with EPRI and other utilities, has </w:t>
      </w:r>
      <w:r w:rsidRPr="0084580B">
        <w:t>develop</w:t>
      </w:r>
      <w:r>
        <w:t xml:space="preserve">ed </w:t>
      </w:r>
      <w:r w:rsidRPr="0084580B">
        <w:t>a center</w:t>
      </w:r>
      <w:r>
        <w:t>,</w:t>
      </w:r>
      <w:r w:rsidRPr="0084580B">
        <w:t xml:space="preserve"> </w:t>
      </w:r>
      <w:r>
        <w:t>located at Plant Bowen,</w:t>
      </w:r>
      <w:r w:rsidRPr="0084580B">
        <w:t xml:space="preserve"> for </w:t>
      </w:r>
      <w:r>
        <w:t>b</w:t>
      </w:r>
      <w:r w:rsidRPr="0084580B">
        <w:t xml:space="preserve">eneficial </w:t>
      </w:r>
      <w:r>
        <w:t>u</w:t>
      </w:r>
      <w:r w:rsidRPr="0084580B">
        <w:t xml:space="preserve">se of </w:t>
      </w:r>
      <w:r>
        <w:t>h</w:t>
      </w:r>
      <w:r w:rsidRPr="0084580B">
        <w:t>arvested CCR.</w:t>
      </w:r>
      <w:r>
        <w:t xml:space="preserve"> </w:t>
      </w:r>
      <w:r w:rsidRPr="12E428E8">
        <w:rPr>
          <w:rFonts w:eastAsia="Times New Roman"/>
        </w:rPr>
        <w:t>The</w:t>
      </w:r>
      <w:r w:rsidRPr="00264EA7" w:rsidDel="000A18B8">
        <w:rPr>
          <w:rFonts w:eastAsia="Times New Roman"/>
        </w:rPr>
        <w:t xml:space="preserve"> </w:t>
      </w:r>
      <w:r>
        <w:rPr>
          <w:rFonts w:eastAsia="Times New Roman"/>
        </w:rPr>
        <w:t xml:space="preserve">Ash Beneficial Use Center (“ABUC”) </w:t>
      </w:r>
      <w:r w:rsidRPr="00911162">
        <w:rPr>
          <w:rFonts w:eastAsia="Times New Roman"/>
        </w:rPr>
        <w:t xml:space="preserve">will strive to develop additional uses </w:t>
      </w:r>
      <w:r w:rsidR="00CD4ADC">
        <w:rPr>
          <w:rFonts w:eastAsia="Times New Roman"/>
        </w:rPr>
        <w:t xml:space="preserve">of CCR </w:t>
      </w:r>
      <w:r w:rsidRPr="00911162">
        <w:rPr>
          <w:rFonts w:eastAsia="Times New Roman"/>
        </w:rPr>
        <w:t>and better technologies to process ash for beneficial use</w:t>
      </w:r>
      <w:r w:rsidR="00AE6A26">
        <w:rPr>
          <w:rFonts w:eastAsia="Times New Roman"/>
        </w:rPr>
        <w:t xml:space="preserve">, which can help </w:t>
      </w:r>
      <w:r w:rsidRPr="00911162">
        <w:rPr>
          <w:rFonts w:eastAsia="Times New Roman"/>
        </w:rPr>
        <w:t>reduce future costs to CCR closure projects</w:t>
      </w:r>
      <w:r>
        <w:rPr>
          <w:rFonts w:eastAsia="Times New Roman"/>
        </w:rPr>
        <w:t xml:space="preserve"> and further open opportunities to reuse this byproduct</w:t>
      </w:r>
      <w:r w:rsidRPr="6A44F22A">
        <w:rPr>
          <w:rFonts w:eastAsia="Times New Roman"/>
        </w:rPr>
        <w:t>.</w:t>
      </w:r>
    </w:p>
    <w:p w14:paraId="67AE59F0" w14:textId="7111A4EE" w:rsidR="002A71B8" w:rsidRPr="00A00119" w:rsidRDefault="002A71B8" w:rsidP="00C942DB">
      <w:pPr>
        <w:spacing w:before="120" w:after="0" w:line="240" w:lineRule="auto"/>
      </w:pPr>
      <w:r w:rsidRPr="00931504">
        <w:rPr>
          <w:rFonts w:cs="Arial"/>
        </w:rPr>
        <w:t>Th</w:t>
      </w:r>
      <w:r>
        <w:rPr>
          <w:rFonts w:cs="Arial"/>
        </w:rPr>
        <w:t>e</w:t>
      </w:r>
      <w:r w:rsidRPr="00931504">
        <w:rPr>
          <w:rFonts w:cs="Arial"/>
        </w:rPr>
        <w:t xml:space="preserve"> </w:t>
      </w:r>
      <w:r>
        <w:rPr>
          <w:rFonts w:cs="Arial"/>
        </w:rPr>
        <w:t>center</w:t>
      </w:r>
      <w:r w:rsidRPr="00931504">
        <w:rPr>
          <w:rFonts w:cs="Arial"/>
        </w:rPr>
        <w:t xml:space="preserve"> </w:t>
      </w:r>
      <w:r>
        <w:rPr>
          <w:rFonts w:cs="Arial"/>
        </w:rPr>
        <w:t>aims to develop</w:t>
      </w:r>
      <w:r w:rsidRPr="00931504">
        <w:rPr>
          <w:rFonts w:cs="Arial"/>
        </w:rPr>
        <w:t xml:space="preserve"> new technologies </w:t>
      </w:r>
      <w:r>
        <w:rPr>
          <w:rFonts w:cs="Arial"/>
        </w:rPr>
        <w:t xml:space="preserve">or processes </w:t>
      </w:r>
      <w:r w:rsidRPr="00931504">
        <w:rPr>
          <w:rFonts w:cs="Arial"/>
        </w:rPr>
        <w:t xml:space="preserve">that </w:t>
      </w:r>
      <w:r>
        <w:rPr>
          <w:rFonts w:cs="Arial"/>
        </w:rPr>
        <w:t>drive downward cost pressure associated with beneficial use</w:t>
      </w:r>
      <w:r w:rsidRPr="00EC2E02">
        <w:rPr>
          <w:rFonts w:cs="Arial"/>
        </w:rPr>
        <w:t xml:space="preserve"> </w:t>
      </w:r>
      <w:r>
        <w:rPr>
          <w:rFonts w:cs="Arial"/>
        </w:rPr>
        <w:t>and expand current and potential markets. This downward cost pressure would create an adjustable mechanism to obtain market equilibrium such that beneficial reuse from operating power plants is preserved. In addition, technology developments or enhancements to beneficially use</w:t>
      </w:r>
      <w:r w:rsidRPr="00931504">
        <w:rPr>
          <w:rFonts w:cs="Arial"/>
        </w:rPr>
        <w:t xml:space="preserve"> CCR </w:t>
      </w:r>
      <w:r>
        <w:rPr>
          <w:rFonts w:cs="Arial"/>
        </w:rPr>
        <w:t>could</w:t>
      </w:r>
      <w:r w:rsidRPr="00931504">
        <w:rPr>
          <w:rFonts w:cs="Arial"/>
        </w:rPr>
        <w:t xml:space="preserve"> ultimately allow G</w:t>
      </w:r>
      <w:r>
        <w:rPr>
          <w:rFonts w:cs="Arial"/>
        </w:rPr>
        <w:t>eorgia Power</w:t>
      </w:r>
      <w:r w:rsidRPr="00931504">
        <w:rPr>
          <w:rFonts w:cs="Arial"/>
        </w:rPr>
        <w:t xml:space="preserve"> to reduce the amount of CCR that </w:t>
      </w:r>
      <w:r>
        <w:rPr>
          <w:rFonts w:cs="Arial"/>
        </w:rPr>
        <w:t>is</w:t>
      </w:r>
      <w:r w:rsidRPr="00931504">
        <w:rPr>
          <w:rFonts w:cs="Arial"/>
        </w:rPr>
        <w:t xml:space="preserve"> stored in landfills</w:t>
      </w:r>
      <w:r>
        <w:rPr>
          <w:rFonts w:cs="Arial"/>
        </w:rPr>
        <w:t xml:space="preserve"> or reclaim CCR already stored in landfills and ash ponds. This may result in </w:t>
      </w:r>
      <w:r w:rsidRPr="67F86674">
        <w:rPr>
          <w:rFonts w:cs="Arial"/>
        </w:rPr>
        <w:t>reduce</w:t>
      </w:r>
      <w:r>
        <w:rPr>
          <w:rFonts w:cs="Arial"/>
        </w:rPr>
        <w:t xml:space="preserve">d capital and O&amp;M costs for CCR management. The strategy associated with introducing additional beneficiated ash into the market, as well as limiting the quantity of CCR in landfills, benefits both current and future customers. </w:t>
      </w:r>
    </w:p>
    <w:bookmarkEnd w:id="87"/>
    <w:p w14:paraId="25C6B52C" w14:textId="4CF126E9" w:rsidR="0043408D" w:rsidRDefault="002A71B8" w:rsidP="00C942DB">
      <w:pPr>
        <w:spacing w:before="120" w:after="0" w:line="240" w:lineRule="auto"/>
        <w:rPr>
          <w:rFonts w:cs="Arial"/>
        </w:rPr>
      </w:pPr>
      <w:r w:rsidRPr="7C8901C1">
        <w:rPr>
          <w:rFonts w:cs="Arial"/>
        </w:rPr>
        <w:t xml:space="preserve">The core capability of the center is pre-processing </w:t>
      </w:r>
      <w:r>
        <w:rPr>
          <w:rFonts w:cs="Arial"/>
        </w:rPr>
        <w:t>harvested</w:t>
      </w:r>
      <w:r w:rsidRPr="7C8901C1">
        <w:rPr>
          <w:rFonts w:cs="Arial"/>
        </w:rPr>
        <w:t xml:space="preserve"> ash for use in technology demonstrations. Pre-processing includes drying, classifying, </w:t>
      </w:r>
      <w:proofErr w:type="gramStart"/>
      <w:r w:rsidRPr="7C8901C1">
        <w:rPr>
          <w:rFonts w:cs="Arial"/>
        </w:rPr>
        <w:t>storing</w:t>
      </w:r>
      <w:proofErr w:type="gramEnd"/>
      <w:r w:rsidRPr="7C8901C1">
        <w:rPr>
          <w:rFonts w:cs="Arial"/>
        </w:rPr>
        <w:t xml:space="preserve"> and delivering the ash</w:t>
      </w:r>
      <w:r>
        <w:rPr>
          <w:rFonts w:cs="Arial"/>
        </w:rPr>
        <w:t xml:space="preserve"> for beneficial use</w:t>
      </w:r>
      <w:r w:rsidRPr="7C8901C1">
        <w:rPr>
          <w:rFonts w:cs="Arial"/>
        </w:rPr>
        <w:t>. The major mechanical components of the center were completed in February 2021</w:t>
      </w:r>
      <w:r>
        <w:rPr>
          <w:rFonts w:cs="Arial"/>
        </w:rPr>
        <w:t>,</w:t>
      </w:r>
      <w:r w:rsidRPr="7C8901C1">
        <w:rPr>
          <w:rFonts w:cs="Arial"/>
        </w:rPr>
        <w:t xml:space="preserve"> and </w:t>
      </w:r>
      <w:r>
        <w:rPr>
          <w:rFonts w:cs="Arial"/>
        </w:rPr>
        <w:t>full commissioning and acceptance testing were completed in July 2021.</w:t>
      </w:r>
      <w:r w:rsidRPr="7C8901C1">
        <w:rPr>
          <w:rFonts w:cs="Arial"/>
        </w:rPr>
        <w:t xml:space="preserve"> </w:t>
      </w:r>
    </w:p>
    <w:p w14:paraId="4C2F20E5" w14:textId="77777777" w:rsidR="0043408D" w:rsidRDefault="0043408D" w:rsidP="0043408D">
      <w:pPr>
        <w:spacing w:before="120" w:after="0" w:line="240" w:lineRule="auto"/>
        <w:rPr>
          <w:rFonts w:cs="Arial"/>
        </w:rPr>
      </w:pPr>
      <w:r w:rsidRPr="00E951A3">
        <w:rPr>
          <w:rFonts w:cs="Arial"/>
        </w:rPr>
        <w:t>In September 2021,</w:t>
      </w:r>
      <w:r>
        <w:rPr>
          <w:rFonts w:cs="Arial"/>
        </w:rPr>
        <w:t xml:space="preserve"> the ABUC was used to execute part of a critical mineral extraction project funded by the U.S Department of Defense.</w:t>
      </w:r>
      <w:r w:rsidRPr="00E951A3">
        <w:rPr>
          <w:rFonts w:cs="Arial"/>
        </w:rPr>
        <w:t xml:space="preserve"> </w:t>
      </w:r>
      <w:r>
        <w:rPr>
          <w:rFonts w:cs="Arial"/>
        </w:rPr>
        <w:t>A</w:t>
      </w:r>
      <w:r w:rsidRPr="00E951A3">
        <w:rPr>
          <w:rFonts w:cs="Arial"/>
        </w:rPr>
        <w:t>pproximately 75 tons of ash were harvested from a Southern Company ash pond in Alabama</w:t>
      </w:r>
      <w:r>
        <w:rPr>
          <w:rFonts w:cs="Arial"/>
        </w:rPr>
        <w:t>, and the</w:t>
      </w:r>
      <w:r w:rsidRPr="00E951A3">
        <w:rPr>
          <w:rFonts w:cs="Arial"/>
        </w:rPr>
        <w:t xml:space="preserve"> ash was screened, </w:t>
      </w:r>
      <w:proofErr w:type="gramStart"/>
      <w:r w:rsidRPr="00E951A3">
        <w:rPr>
          <w:rFonts w:cs="Arial"/>
        </w:rPr>
        <w:t>dried</w:t>
      </w:r>
      <w:proofErr w:type="gramEnd"/>
      <w:r w:rsidRPr="00E951A3">
        <w:rPr>
          <w:rFonts w:cs="Arial"/>
        </w:rPr>
        <w:t xml:space="preserve"> and classified using the ABUC infrastructure. Carbon was removed from the ash using a triboelectrostatic belt separator. </w:t>
      </w:r>
      <w:r>
        <w:rPr>
          <w:rFonts w:cs="Arial"/>
        </w:rPr>
        <w:t>Lessons learned during this project</w:t>
      </w:r>
      <w:r w:rsidRPr="00E951A3">
        <w:rPr>
          <w:rFonts w:cs="Arial"/>
        </w:rPr>
        <w:t xml:space="preserve"> will allow Georgia Power to better understand process performance and energy costs for potential future beneficiation projects. </w:t>
      </w:r>
    </w:p>
    <w:p w14:paraId="470DDCA3" w14:textId="3583E4A2" w:rsidR="0043408D" w:rsidRDefault="0043408D" w:rsidP="0043408D">
      <w:pPr>
        <w:spacing w:before="120" w:after="0" w:line="240" w:lineRule="auto"/>
        <w:rPr>
          <w:rFonts w:cs="Arial"/>
        </w:rPr>
      </w:pPr>
      <w:r>
        <w:rPr>
          <w:rStyle w:val="normaltextrun"/>
          <w:color w:val="000000"/>
          <w:shd w:val="clear" w:color="auto" w:fill="FFFFFF"/>
        </w:rPr>
        <w:t>Georgia Power and EPRI have met with several technology developers to discuss potential demonstrations at the ABUC. Technologies under consideration include</w:t>
      </w:r>
      <w:r w:rsidR="00B64108">
        <w:rPr>
          <w:rStyle w:val="normaltextrun"/>
          <w:color w:val="000000"/>
          <w:shd w:val="clear" w:color="auto" w:fill="FFFFFF"/>
        </w:rPr>
        <w:t>:</w:t>
      </w:r>
      <w:r>
        <w:rPr>
          <w:rStyle w:val="normaltextrun"/>
          <w:color w:val="000000"/>
          <w:shd w:val="clear" w:color="auto" w:fill="FFFFFF"/>
        </w:rPr>
        <w:t xml:space="preserve"> lower cost non-thermal</w:t>
      </w:r>
      <w:r w:rsidR="004842A0">
        <w:rPr>
          <w:rStyle w:val="normaltextrun"/>
          <w:color w:val="000000"/>
          <w:shd w:val="clear" w:color="auto" w:fill="FFFFFF"/>
        </w:rPr>
        <w:t xml:space="preserve"> carbon separation</w:t>
      </w:r>
      <w:r w:rsidR="00F343C1">
        <w:rPr>
          <w:rStyle w:val="normaltextrun"/>
          <w:color w:val="000000"/>
          <w:shd w:val="clear" w:color="auto" w:fill="FFFFFF"/>
        </w:rPr>
        <w:t>; lower cost</w:t>
      </w:r>
      <w:r w:rsidR="005B56CD">
        <w:rPr>
          <w:rStyle w:val="normaltextrun"/>
          <w:color w:val="000000"/>
          <w:shd w:val="clear" w:color="auto" w:fill="FFFFFF"/>
        </w:rPr>
        <w:t xml:space="preserve"> non-thermal</w:t>
      </w:r>
      <w:r w:rsidR="004842A0">
        <w:rPr>
          <w:rStyle w:val="normaltextrun"/>
          <w:color w:val="000000"/>
          <w:shd w:val="clear" w:color="auto" w:fill="FFFFFF"/>
        </w:rPr>
        <w:t xml:space="preserve"> </w:t>
      </w:r>
      <w:r>
        <w:rPr>
          <w:rStyle w:val="normaltextrun"/>
          <w:color w:val="000000"/>
          <w:shd w:val="clear" w:color="auto" w:fill="FFFFFF"/>
        </w:rPr>
        <w:t>ash drying</w:t>
      </w:r>
      <w:r w:rsidR="00EB546A">
        <w:rPr>
          <w:rStyle w:val="normaltextrun"/>
          <w:color w:val="000000"/>
          <w:shd w:val="clear" w:color="auto" w:fill="FFFFFF"/>
        </w:rPr>
        <w:t>;</w:t>
      </w:r>
      <w:r>
        <w:rPr>
          <w:rStyle w:val="normaltextrun"/>
          <w:color w:val="000000"/>
          <w:shd w:val="clear" w:color="auto" w:fill="FFFFFF"/>
        </w:rPr>
        <w:t xml:space="preserve"> </w:t>
      </w:r>
      <w:r w:rsidR="00DC7351">
        <w:rPr>
          <w:rStyle w:val="normaltextrun"/>
          <w:color w:val="000000"/>
          <w:shd w:val="clear" w:color="auto" w:fill="FFFFFF"/>
        </w:rPr>
        <w:t xml:space="preserve">evaluating </w:t>
      </w:r>
      <w:r w:rsidR="00ED773F">
        <w:rPr>
          <w:rStyle w:val="normaltextrun"/>
          <w:color w:val="000000"/>
          <w:shd w:val="clear" w:color="auto" w:fill="FFFFFF"/>
        </w:rPr>
        <w:t xml:space="preserve">energy efficient </w:t>
      </w:r>
      <w:r w:rsidR="00DC7351">
        <w:rPr>
          <w:rStyle w:val="normaltextrun"/>
          <w:color w:val="000000"/>
          <w:shd w:val="clear" w:color="auto" w:fill="FFFFFF"/>
        </w:rPr>
        <w:t>grinding</w:t>
      </w:r>
      <w:r w:rsidR="00ED773F">
        <w:rPr>
          <w:rStyle w:val="normaltextrun"/>
          <w:color w:val="000000"/>
          <w:shd w:val="clear" w:color="auto" w:fill="FFFFFF"/>
        </w:rPr>
        <w:t xml:space="preserve"> </w:t>
      </w:r>
      <w:r w:rsidR="007D03D1">
        <w:rPr>
          <w:rStyle w:val="normaltextrun"/>
          <w:color w:val="000000"/>
          <w:shd w:val="clear" w:color="auto" w:fill="FFFFFF"/>
        </w:rPr>
        <w:t xml:space="preserve">systems </w:t>
      </w:r>
      <w:r w:rsidR="008348C8">
        <w:rPr>
          <w:rStyle w:val="normaltextrun"/>
          <w:color w:val="000000"/>
          <w:shd w:val="clear" w:color="auto" w:fill="FFFFFF"/>
        </w:rPr>
        <w:t>to</w:t>
      </w:r>
      <w:r w:rsidR="00ED791D">
        <w:rPr>
          <w:rStyle w:val="normaltextrun"/>
          <w:color w:val="000000"/>
          <w:shd w:val="clear" w:color="auto" w:fill="FFFFFF"/>
        </w:rPr>
        <w:t xml:space="preserve"> enable </w:t>
      </w:r>
      <w:r w:rsidR="00A31A65">
        <w:rPr>
          <w:rStyle w:val="normaltextrun"/>
          <w:color w:val="000000"/>
          <w:shd w:val="clear" w:color="auto" w:fill="FFFFFF"/>
        </w:rPr>
        <w:t xml:space="preserve">beneficial use of </w:t>
      </w:r>
      <w:r w:rsidR="00BF7BC5">
        <w:rPr>
          <w:rStyle w:val="normaltextrun"/>
          <w:color w:val="000000"/>
          <w:shd w:val="clear" w:color="auto" w:fill="FFFFFF"/>
        </w:rPr>
        <w:t>currently unusable</w:t>
      </w:r>
      <w:r w:rsidR="00C24198">
        <w:rPr>
          <w:rStyle w:val="normaltextrun"/>
          <w:color w:val="000000"/>
          <w:shd w:val="clear" w:color="auto" w:fill="FFFFFF"/>
        </w:rPr>
        <w:t xml:space="preserve"> </w:t>
      </w:r>
      <w:r w:rsidR="00314CEB">
        <w:rPr>
          <w:rStyle w:val="normaltextrun"/>
          <w:color w:val="000000"/>
          <w:shd w:val="clear" w:color="auto" w:fill="FFFFFF"/>
        </w:rPr>
        <w:t xml:space="preserve">volumes of </w:t>
      </w:r>
      <w:r w:rsidR="00C847AB">
        <w:rPr>
          <w:rStyle w:val="normaltextrun"/>
          <w:color w:val="000000"/>
          <w:shd w:val="clear" w:color="auto" w:fill="FFFFFF"/>
        </w:rPr>
        <w:t>co</w:t>
      </w:r>
      <w:r w:rsidR="00686F05">
        <w:rPr>
          <w:rStyle w:val="normaltextrun"/>
          <w:color w:val="000000"/>
          <w:shd w:val="clear" w:color="auto" w:fill="FFFFFF"/>
        </w:rPr>
        <w:t>a</w:t>
      </w:r>
      <w:r w:rsidR="002A63C3">
        <w:rPr>
          <w:rStyle w:val="normaltextrun"/>
          <w:color w:val="000000"/>
          <w:shd w:val="clear" w:color="auto" w:fill="FFFFFF"/>
        </w:rPr>
        <w:t>r</w:t>
      </w:r>
      <w:r w:rsidR="00C847AB">
        <w:rPr>
          <w:rStyle w:val="normaltextrun"/>
          <w:color w:val="000000"/>
          <w:shd w:val="clear" w:color="auto" w:fill="FFFFFF"/>
        </w:rPr>
        <w:t>se</w:t>
      </w:r>
      <w:r w:rsidR="003D098B">
        <w:rPr>
          <w:rStyle w:val="normaltextrun"/>
          <w:color w:val="000000"/>
          <w:shd w:val="clear" w:color="auto" w:fill="FFFFFF"/>
        </w:rPr>
        <w:t xml:space="preserve"> ash</w:t>
      </w:r>
      <w:r w:rsidR="00C24198">
        <w:rPr>
          <w:rStyle w:val="normaltextrun"/>
          <w:color w:val="000000"/>
          <w:shd w:val="clear" w:color="auto" w:fill="FFFFFF"/>
        </w:rPr>
        <w:t xml:space="preserve"> in</w:t>
      </w:r>
      <w:r w:rsidR="000903B5">
        <w:rPr>
          <w:rStyle w:val="normaltextrun"/>
          <w:color w:val="000000"/>
          <w:shd w:val="clear" w:color="auto" w:fill="FFFFFF"/>
        </w:rPr>
        <w:t xml:space="preserve"> </w:t>
      </w:r>
      <w:r w:rsidR="000F506C">
        <w:rPr>
          <w:rStyle w:val="normaltextrun"/>
          <w:color w:val="000000"/>
          <w:shd w:val="clear" w:color="auto" w:fill="FFFFFF"/>
        </w:rPr>
        <w:t>the</w:t>
      </w:r>
      <w:r w:rsidR="000903B5">
        <w:rPr>
          <w:rStyle w:val="normaltextrun"/>
          <w:color w:val="000000"/>
          <w:shd w:val="clear" w:color="auto" w:fill="FFFFFF"/>
        </w:rPr>
        <w:t xml:space="preserve"> </w:t>
      </w:r>
      <w:r w:rsidR="00C24198">
        <w:rPr>
          <w:rStyle w:val="normaltextrun"/>
          <w:color w:val="000000"/>
          <w:shd w:val="clear" w:color="auto" w:fill="FFFFFF"/>
        </w:rPr>
        <w:t>concrete</w:t>
      </w:r>
      <w:r w:rsidR="006C7A64">
        <w:rPr>
          <w:rStyle w:val="normaltextrun"/>
          <w:color w:val="000000"/>
          <w:shd w:val="clear" w:color="auto" w:fill="FFFFFF"/>
        </w:rPr>
        <w:t xml:space="preserve"> market</w:t>
      </w:r>
      <w:r w:rsidR="009E4E5C">
        <w:rPr>
          <w:rStyle w:val="normaltextrun"/>
          <w:color w:val="000000"/>
          <w:shd w:val="clear" w:color="auto" w:fill="FFFFFF"/>
        </w:rPr>
        <w:t xml:space="preserve">; </w:t>
      </w:r>
      <w:r>
        <w:rPr>
          <w:rStyle w:val="normaltextrun"/>
          <w:color w:val="000000"/>
          <w:shd w:val="clear" w:color="auto" w:fill="FFFFFF"/>
        </w:rPr>
        <w:t xml:space="preserve">production of </w:t>
      </w:r>
      <w:r w:rsidR="001D4A0E">
        <w:rPr>
          <w:rStyle w:val="normaltextrun"/>
          <w:color w:val="000000"/>
          <w:shd w:val="clear" w:color="auto" w:fill="FFFFFF"/>
        </w:rPr>
        <w:t xml:space="preserve">light weight </w:t>
      </w:r>
      <w:r>
        <w:rPr>
          <w:rStyle w:val="normaltextrun"/>
          <w:color w:val="000000"/>
          <w:shd w:val="clear" w:color="auto" w:fill="FFFFFF"/>
        </w:rPr>
        <w:t xml:space="preserve">aggregate </w:t>
      </w:r>
      <w:r w:rsidR="00D230FA">
        <w:rPr>
          <w:rStyle w:val="normaltextrun"/>
          <w:color w:val="000000"/>
          <w:shd w:val="clear" w:color="auto" w:fill="FFFFFF"/>
        </w:rPr>
        <w:t xml:space="preserve">from ponded ash </w:t>
      </w:r>
      <w:r>
        <w:rPr>
          <w:rStyle w:val="normaltextrun"/>
          <w:color w:val="000000"/>
          <w:shd w:val="clear" w:color="auto" w:fill="FFFFFF"/>
        </w:rPr>
        <w:t>for concrete</w:t>
      </w:r>
      <w:r w:rsidR="008067BC">
        <w:rPr>
          <w:rStyle w:val="normaltextrun"/>
          <w:color w:val="000000"/>
          <w:shd w:val="clear" w:color="auto" w:fill="FFFFFF"/>
        </w:rPr>
        <w:t xml:space="preserve"> </w:t>
      </w:r>
      <w:r w:rsidR="006C7A64">
        <w:rPr>
          <w:rStyle w:val="normaltextrun"/>
          <w:color w:val="000000"/>
          <w:shd w:val="clear" w:color="auto" w:fill="FFFFFF"/>
        </w:rPr>
        <w:t>and other construction applications</w:t>
      </w:r>
      <w:r w:rsidR="00466ADD">
        <w:rPr>
          <w:rStyle w:val="normaltextrun"/>
          <w:color w:val="000000"/>
          <w:shd w:val="clear" w:color="auto" w:fill="FFFFFF"/>
        </w:rPr>
        <w:t>; production of</w:t>
      </w:r>
      <w:r w:rsidR="00A2780F">
        <w:rPr>
          <w:rStyle w:val="normaltextrun"/>
          <w:color w:val="000000"/>
          <w:shd w:val="clear" w:color="auto" w:fill="FFFFFF"/>
        </w:rPr>
        <w:t xml:space="preserve"> </w:t>
      </w:r>
      <w:r w:rsidR="00977420">
        <w:rPr>
          <w:rStyle w:val="normaltextrun"/>
          <w:color w:val="000000"/>
          <w:shd w:val="clear" w:color="auto" w:fill="FFFFFF"/>
        </w:rPr>
        <w:t>coal</w:t>
      </w:r>
      <w:r w:rsidR="00B32628">
        <w:rPr>
          <w:rStyle w:val="normaltextrun"/>
          <w:color w:val="000000"/>
          <w:shd w:val="clear" w:color="auto" w:fill="FFFFFF"/>
        </w:rPr>
        <w:t xml:space="preserve"> ash </w:t>
      </w:r>
      <w:r w:rsidR="00A2780F">
        <w:rPr>
          <w:rStyle w:val="normaltextrun"/>
          <w:color w:val="000000"/>
          <w:shd w:val="clear" w:color="auto" w:fill="FFFFFF"/>
        </w:rPr>
        <w:t xml:space="preserve">geopolymer </w:t>
      </w:r>
      <w:r w:rsidR="00B32628">
        <w:rPr>
          <w:rStyle w:val="normaltextrun"/>
          <w:color w:val="000000"/>
          <w:shd w:val="clear" w:color="auto" w:fill="FFFFFF"/>
        </w:rPr>
        <w:t>products</w:t>
      </w:r>
      <w:r w:rsidR="00D4036D">
        <w:rPr>
          <w:rStyle w:val="normaltextrun"/>
          <w:color w:val="000000"/>
          <w:shd w:val="clear" w:color="auto" w:fill="FFFFFF"/>
        </w:rPr>
        <w:t>, a potential high volume and high value use case</w:t>
      </w:r>
      <w:r w:rsidR="00B32628">
        <w:rPr>
          <w:rStyle w:val="normaltextrun"/>
          <w:color w:val="000000"/>
          <w:shd w:val="clear" w:color="auto" w:fill="FFFFFF"/>
        </w:rPr>
        <w:t xml:space="preserve">; </w:t>
      </w:r>
      <w:r w:rsidR="00A655F9">
        <w:rPr>
          <w:rStyle w:val="normaltextrun"/>
          <w:color w:val="000000"/>
          <w:shd w:val="clear" w:color="auto" w:fill="FFFFFF"/>
        </w:rPr>
        <w:t xml:space="preserve">and </w:t>
      </w:r>
      <w:r w:rsidR="00B32628">
        <w:rPr>
          <w:rStyle w:val="normaltextrun"/>
          <w:color w:val="000000"/>
          <w:shd w:val="clear" w:color="auto" w:fill="FFFFFF"/>
        </w:rPr>
        <w:t>production of ferric chloride from</w:t>
      </w:r>
      <w:r w:rsidR="009E4589">
        <w:rPr>
          <w:rStyle w:val="normaltextrun"/>
          <w:color w:val="000000"/>
          <w:shd w:val="clear" w:color="auto" w:fill="FFFFFF"/>
        </w:rPr>
        <w:t xml:space="preserve"> coal ash for use in</w:t>
      </w:r>
      <w:r w:rsidR="008F6293">
        <w:rPr>
          <w:rStyle w:val="normaltextrun"/>
          <w:color w:val="000000"/>
          <w:shd w:val="clear" w:color="auto" w:fill="FFFFFF"/>
        </w:rPr>
        <w:t xml:space="preserve"> water treatment</w:t>
      </w:r>
      <w:r w:rsidR="000E02D2">
        <w:rPr>
          <w:rStyle w:val="normaltextrun"/>
          <w:color w:val="000000"/>
          <w:shd w:val="clear" w:color="auto" w:fill="FFFFFF"/>
        </w:rPr>
        <w:t xml:space="preserve">, replacing </w:t>
      </w:r>
      <w:r w:rsidR="00BD4E51">
        <w:rPr>
          <w:rStyle w:val="normaltextrun"/>
          <w:color w:val="000000"/>
          <w:shd w:val="clear" w:color="auto" w:fill="FFFFFF"/>
        </w:rPr>
        <w:t xml:space="preserve">conventional </w:t>
      </w:r>
      <w:r w:rsidR="000E02D2">
        <w:rPr>
          <w:rStyle w:val="normaltextrun"/>
          <w:color w:val="000000"/>
          <w:shd w:val="clear" w:color="auto" w:fill="FFFFFF"/>
        </w:rPr>
        <w:t>commercially source</w:t>
      </w:r>
      <w:r w:rsidR="000979EC">
        <w:rPr>
          <w:rStyle w:val="normaltextrun"/>
          <w:color w:val="000000"/>
          <w:shd w:val="clear" w:color="auto" w:fill="FFFFFF"/>
        </w:rPr>
        <w:t>d</w:t>
      </w:r>
      <w:r w:rsidR="00291AC9">
        <w:rPr>
          <w:rStyle w:val="normaltextrun"/>
          <w:color w:val="000000"/>
          <w:shd w:val="clear" w:color="auto" w:fill="FFFFFF"/>
        </w:rPr>
        <w:t xml:space="preserve"> material</w:t>
      </w:r>
      <w:r w:rsidR="008F6293">
        <w:rPr>
          <w:rStyle w:val="normaltextrun"/>
          <w:color w:val="000000"/>
          <w:shd w:val="clear" w:color="auto" w:fill="FFFFFF"/>
        </w:rPr>
        <w:t>.</w:t>
      </w:r>
      <w:r>
        <w:rPr>
          <w:rStyle w:val="normaltextrun"/>
          <w:color w:val="000000"/>
          <w:shd w:val="clear" w:color="auto" w:fill="FFFFFF"/>
        </w:rPr>
        <w:t xml:space="preserve"> Increased knowledge of these emerging technologies and potential technology evaluations at ABUC will help Georgia Power to </w:t>
      </w:r>
      <w:r w:rsidR="0024584B">
        <w:rPr>
          <w:rStyle w:val="normaltextrun"/>
          <w:color w:val="000000"/>
          <w:shd w:val="clear" w:color="auto" w:fill="FFFFFF"/>
        </w:rPr>
        <w:t>optimize</w:t>
      </w:r>
      <w:r w:rsidR="00AC3F2C">
        <w:rPr>
          <w:rStyle w:val="normaltextrun"/>
          <w:color w:val="000000"/>
          <w:shd w:val="clear" w:color="auto" w:fill="FFFFFF"/>
        </w:rPr>
        <w:t xml:space="preserve"> current beneficial use </w:t>
      </w:r>
      <w:r w:rsidR="005B5EEF">
        <w:rPr>
          <w:rStyle w:val="normaltextrun"/>
          <w:color w:val="000000"/>
          <w:shd w:val="clear" w:color="auto" w:fill="FFFFFF"/>
        </w:rPr>
        <w:t>operations and</w:t>
      </w:r>
      <w:r w:rsidR="002F62A5">
        <w:rPr>
          <w:rStyle w:val="normaltextrun"/>
          <w:color w:val="000000"/>
          <w:shd w:val="clear" w:color="auto" w:fill="FFFFFF"/>
        </w:rPr>
        <w:t xml:space="preserve"> </w:t>
      </w:r>
      <w:r w:rsidR="00E34B0F">
        <w:rPr>
          <w:rStyle w:val="normaltextrun"/>
          <w:color w:val="000000"/>
          <w:shd w:val="clear" w:color="auto" w:fill="FFFFFF"/>
        </w:rPr>
        <w:t>p</w:t>
      </w:r>
      <w:r w:rsidR="0044743F">
        <w:rPr>
          <w:rStyle w:val="normaltextrun"/>
          <w:color w:val="000000"/>
          <w:shd w:val="clear" w:color="auto" w:fill="FFFFFF"/>
        </w:rPr>
        <w:t>erform informed ass</w:t>
      </w:r>
      <w:r w:rsidR="00623ED6">
        <w:rPr>
          <w:rStyle w:val="normaltextrun"/>
          <w:color w:val="000000"/>
          <w:shd w:val="clear" w:color="auto" w:fill="FFFFFF"/>
        </w:rPr>
        <w:t>essments</w:t>
      </w:r>
      <w:r w:rsidR="0092563C">
        <w:rPr>
          <w:rStyle w:val="normaltextrun"/>
          <w:color w:val="000000"/>
          <w:shd w:val="clear" w:color="auto" w:fill="FFFFFF"/>
        </w:rPr>
        <w:t xml:space="preserve"> on implementing new commercial </w:t>
      </w:r>
      <w:r w:rsidR="0043594A">
        <w:rPr>
          <w:rStyle w:val="normaltextrun"/>
          <w:color w:val="000000"/>
          <w:shd w:val="clear" w:color="auto" w:fill="FFFFFF"/>
        </w:rPr>
        <w:t xml:space="preserve">beneficial use </w:t>
      </w:r>
      <w:r w:rsidR="0092563C">
        <w:rPr>
          <w:rStyle w:val="normaltextrun"/>
          <w:color w:val="000000"/>
          <w:shd w:val="clear" w:color="auto" w:fill="FFFFFF"/>
        </w:rPr>
        <w:t>opportunities</w:t>
      </w:r>
      <w:r w:rsidR="0059485C">
        <w:rPr>
          <w:rStyle w:val="normaltextrun"/>
          <w:color w:val="000000"/>
          <w:shd w:val="clear" w:color="auto" w:fill="FFFFFF"/>
        </w:rPr>
        <w:t>.</w:t>
      </w:r>
    </w:p>
    <w:p w14:paraId="397FB328" w14:textId="631B9DA1" w:rsidR="0043408D" w:rsidRDefault="0043408D" w:rsidP="0043408D">
      <w:pPr>
        <w:spacing w:before="120" w:after="0" w:line="240" w:lineRule="auto"/>
        <w:rPr>
          <w:rFonts w:cs="Arial"/>
        </w:rPr>
      </w:pPr>
      <w:r w:rsidRPr="00CA2841">
        <w:rPr>
          <w:rFonts w:cs="Arial"/>
          <w:color w:val="171717" w:themeColor="background2" w:themeShade="1A"/>
        </w:rPr>
        <w:t xml:space="preserve">Additionally, Georgia Power and Southern Company are participants </w:t>
      </w:r>
      <w:r>
        <w:rPr>
          <w:rFonts w:cs="Arial"/>
          <w:color w:val="171717" w:themeColor="background2" w:themeShade="1A"/>
        </w:rPr>
        <w:t>in</w:t>
      </w:r>
      <w:r w:rsidRPr="00CA2841">
        <w:rPr>
          <w:rFonts w:cs="Arial"/>
          <w:color w:val="171717" w:themeColor="background2" w:themeShade="1A"/>
        </w:rPr>
        <w:t xml:space="preserve"> </w:t>
      </w:r>
      <w:r>
        <w:rPr>
          <w:rFonts w:cs="Arial"/>
          <w:color w:val="171717" w:themeColor="background2" w:themeShade="1A"/>
        </w:rPr>
        <w:t>the Department of Energy’s</w:t>
      </w:r>
      <w:r w:rsidRPr="00CA2841">
        <w:rPr>
          <w:rFonts w:cs="Arial"/>
          <w:color w:val="171717" w:themeColor="background2" w:themeShade="1A"/>
        </w:rPr>
        <w:t xml:space="preserve"> Carbon Ore, Rare Earths and Critical Minerals (</w:t>
      </w:r>
      <w:r>
        <w:rPr>
          <w:rFonts w:cs="Arial"/>
          <w:color w:val="171717" w:themeColor="background2" w:themeShade="1A"/>
        </w:rPr>
        <w:t>“</w:t>
      </w:r>
      <w:r w:rsidRPr="00CA2841">
        <w:rPr>
          <w:rFonts w:cs="Arial"/>
          <w:color w:val="171717" w:themeColor="background2" w:themeShade="1A"/>
        </w:rPr>
        <w:t>CORE-CM</w:t>
      </w:r>
      <w:r>
        <w:rPr>
          <w:rFonts w:cs="Arial"/>
          <w:color w:val="171717" w:themeColor="background2" w:themeShade="1A"/>
        </w:rPr>
        <w:t>”</w:t>
      </w:r>
      <w:r w:rsidRPr="00CA2841">
        <w:rPr>
          <w:rFonts w:cs="Arial"/>
          <w:color w:val="171717" w:themeColor="background2" w:themeShade="1A"/>
        </w:rPr>
        <w:t xml:space="preserve">) Initiative with the goal of </w:t>
      </w:r>
      <w:r>
        <w:rPr>
          <w:rFonts w:cs="Arial"/>
          <w:color w:val="171717" w:themeColor="background2" w:themeShade="1A"/>
        </w:rPr>
        <w:t xml:space="preserve">evaluating coal ash as a domestic source for rare earth elements and critical minerals and </w:t>
      </w:r>
      <w:r w:rsidRPr="00CA2841">
        <w:rPr>
          <w:rFonts w:cs="Arial"/>
          <w:color w:val="171717" w:themeColor="background2" w:themeShade="1A"/>
        </w:rPr>
        <w:t>driving regional economic development to establish domestic supply chain</w:t>
      </w:r>
      <w:r>
        <w:rPr>
          <w:rFonts w:cs="Arial"/>
          <w:color w:val="171717" w:themeColor="background2" w:themeShade="1A"/>
        </w:rPr>
        <w:t>s.</w:t>
      </w:r>
    </w:p>
    <w:p w14:paraId="28E88F80" w14:textId="02DFA72D" w:rsidR="00AE6A26" w:rsidRPr="00D33640" w:rsidRDefault="00AE6A26" w:rsidP="00AE6A26">
      <w:pPr>
        <w:pStyle w:val="Heading3"/>
        <w:spacing w:before="120"/>
        <w:rPr>
          <w:b/>
          <w:bCs/>
          <w:sz w:val="24"/>
          <w:szCs w:val="24"/>
        </w:rPr>
      </w:pPr>
      <w:bookmarkStart w:id="88" w:name="_Toc130201028"/>
      <w:r>
        <w:rPr>
          <w:b/>
          <w:bCs/>
          <w:sz w:val="24"/>
          <w:szCs w:val="24"/>
        </w:rPr>
        <w:t>Carbon Emissions Research &amp; Development</w:t>
      </w:r>
      <w:bookmarkEnd w:id="88"/>
      <w:r w:rsidRPr="00D33640">
        <w:rPr>
          <w:b/>
          <w:bCs/>
          <w:sz w:val="24"/>
          <w:szCs w:val="24"/>
        </w:rPr>
        <w:t xml:space="preserve"> </w:t>
      </w:r>
    </w:p>
    <w:p w14:paraId="5EB0A056" w14:textId="3B83A2DE" w:rsidR="00282273" w:rsidRDefault="00282273" w:rsidP="00282273">
      <w:pPr>
        <w:spacing w:before="120" w:after="0" w:line="240" w:lineRule="auto"/>
        <w:rPr>
          <w:rFonts w:cs="Arial"/>
          <w:color w:val="171717" w:themeColor="background2" w:themeShade="1A"/>
        </w:rPr>
      </w:pPr>
      <w:r>
        <w:rPr>
          <w:rFonts w:cs="Arial"/>
          <w:color w:val="171717" w:themeColor="background2" w:themeShade="1A"/>
        </w:rPr>
        <w:t>T</w:t>
      </w:r>
      <w:r w:rsidRPr="00282273">
        <w:rPr>
          <w:rFonts w:cs="Arial"/>
          <w:color w:val="171717" w:themeColor="background2" w:themeShade="1A"/>
        </w:rPr>
        <w:t>he National Carbon Capture Center</w:t>
      </w:r>
      <w:r>
        <w:rPr>
          <w:rFonts w:cs="Arial"/>
          <w:color w:val="171717" w:themeColor="background2" w:themeShade="1A"/>
        </w:rPr>
        <w:t>, managed and operated by Southern Company</w:t>
      </w:r>
      <w:r w:rsidR="00065CC3">
        <w:rPr>
          <w:rFonts w:cs="Arial"/>
          <w:color w:val="171717" w:themeColor="background2" w:themeShade="1A"/>
        </w:rPr>
        <w:t xml:space="preserve"> and located in Wilsonville, Alabama</w:t>
      </w:r>
      <w:r>
        <w:rPr>
          <w:rFonts w:cs="Arial"/>
          <w:color w:val="171717" w:themeColor="background2" w:themeShade="1A"/>
        </w:rPr>
        <w:t xml:space="preserve">, </w:t>
      </w:r>
      <w:r w:rsidRPr="00282273">
        <w:rPr>
          <w:rFonts w:cs="Arial"/>
          <w:color w:val="171717" w:themeColor="background2" w:themeShade="1A"/>
        </w:rPr>
        <w:t xml:space="preserve">is working to accelerate the commercialization of advanced technologies to reduce greenhouse gas emissions. </w:t>
      </w:r>
      <w:r>
        <w:rPr>
          <w:rFonts w:cs="Arial"/>
          <w:color w:val="171717" w:themeColor="background2" w:themeShade="1A"/>
        </w:rPr>
        <w:t xml:space="preserve">The NCCC was created in partnership with the </w:t>
      </w:r>
      <w:r w:rsidRPr="00282273">
        <w:rPr>
          <w:rFonts w:cs="Arial"/>
          <w:color w:val="171717" w:themeColor="background2" w:themeShade="1A"/>
        </w:rPr>
        <w:t>U.S. Department of Energy (DOE) in 2009</w:t>
      </w:r>
      <w:r>
        <w:rPr>
          <w:rFonts w:cs="Arial"/>
          <w:color w:val="171717" w:themeColor="background2" w:themeShade="1A"/>
        </w:rPr>
        <w:t xml:space="preserve"> and </w:t>
      </w:r>
      <w:r w:rsidRPr="00282273">
        <w:rPr>
          <w:rFonts w:cs="Arial"/>
          <w:color w:val="171717" w:themeColor="background2" w:themeShade="1A"/>
        </w:rPr>
        <w:t xml:space="preserve">has worked with over 30 government, </w:t>
      </w:r>
      <w:proofErr w:type="gramStart"/>
      <w:r w:rsidRPr="00282273">
        <w:rPr>
          <w:rFonts w:cs="Arial"/>
          <w:color w:val="171717" w:themeColor="background2" w:themeShade="1A"/>
        </w:rPr>
        <w:t>university</w:t>
      </w:r>
      <w:proofErr w:type="gramEnd"/>
      <w:r w:rsidRPr="00282273">
        <w:rPr>
          <w:rFonts w:cs="Arial"/>
          <w:color w:val="171717" w:themeColor="background2" w:themeShade="1A"/>
        </w:rPr>
        <w:t xml:space="preserve"> and research organizations from seven countries. </w:t>
      </w:r>
      <w:r w:rsidR="00AE4993">
        <w:rPr>
          <w:rFonts w:cs="Arial"/>
          <w:color w:val="171717" w:themeColor="background2" w:themeShade="1A"/>
        </w:rPr>
        <w:t xml:space="preserve">The NCCC serves as </w:t>
      </w:r>
      <w:r w:rsidRPr="00282273">
        <w:rPr>
          <w:rFonts w:cs="Arial"/>
          <w:color w:val="171717" w:themeColor="background2" w:themeShade="1A"/>
        </w:rPr>
        <w:t>a unique test bed for third-party developers</w:t>
      </w:r>
      <w:r w:rsidR="00AE4993">
        <w:rPr>
          <w:rFonts w:cs="Arial"/>
          <w:color w:val="171717" w:themeColor="background2" w:themeShade="1A"/>
        </w:rPr>
        <w:t xml:space="preserve"> to help</w:t>
      </w:r>
      <w:r w:rsidRPr="00282273">
        <w:rPr>
          <w:rFonts w:cs="Arial"/>
          <w:color w:val="171717" w:themeColor="background2" w:themeShade="1A"/>
        </w:rPr>
        <w:t xml:space="preserve"> bridge the gap between laboratory research and large-scale demonstrations</w:t>
      </w:r>
      <w:r w:rsidR="00AE4993">
        <w:rPr>
          <w:rFonts w:cs="Arial"/>
          <w:color w:val="171717" w:themeColor="background2" w:themeShade="1A"/>
        </w:rPr>
        <w:t xml:space="preserve"> to evaluate promising technologies for future </w:t>
      </w:r>
      <w:r w:rsidR="00AE4993">
        <w:rPr>
          <w:rFonts w:cs="Arial"/>
          <w:color w:val="171717" w:themeColor="background2" w:themeShade="1A"/>
        </w:rPr>
        <w:lastRenderedPageBreak/>
        <w:t>commercial deployment</w:t>
      </w:r>
      <w:r w:rsidRPr="00282273">
        <w:rPr>
          <w:rFonts w:cs="Arial"/>
          <w:color w:val="171717" w:themeColor="background2" w:themeShade="1A"/>
        </w:rPr>
        <w:t>.</w:t>
      </w:r>
      <w:r w:rsidR="00680324">
        <w:rPr>
          <w:rFonts w:cs="Arial"/>
          <w:color w:val="171717" w:themeColor="background2" w:themeShade="1A"/>
        </w:rPr>
        <w:t xml:space="preserve"> The R&amp;D </w:t>
      </w:r>
      <w:r w:rsidRPr="00282273">
        <w:rPr>
          <w:rFonts w:cs="Arial"/>
          <w:color w:val="171717" w:themeColor="background2" w:themeShade="1A"/>
        </w:rPr>
        <w:t xml:space="preserve">scope </w:t>
      </w:r>
      <w:r w:rsidR="00680324">
        <w:rPr>
          <w:rFonts w:cs="Arial"/>
          <w:color w:val="171717" w:themeColor="background2" w:themeShade="1A"/>
        </w:rPr>
        <w:t xml:space="preserve">of the NCCC </w:t>
      </w:r>
      <w:r w:rsidRPr="00282273">
        <w:rPr>
          <w:rFonts w:cs="Arial"/>
          <w:color w:val="171717" w:themeColor="background2" w:themeShade="1A"/>
        </w:rPr>
        <w:t xml:space="preserve">includes carbon capture for </w:t>
      </w:r>
      <w:r w:rsidR="00680324">
        <w:rPr>
          <w:rFonts w:cs="Arial"/>
          <w:color w:val="171717" w:themeColor="background2" w:themeShade="1A"/>
        </w:rPr>
        <w:t>power generation</w:t>
      </w:r>
      <w:r w:rsidRPr="00282273">
        <w:rPr>
          <w:rFonts w:cs="Arial"/>
          <w:color w:val="171717" w:themeColor="background2" w:themeShade="1A"/>
        </w:rPr>
        <w:t>, carbon utilization and conversion, and negative-emission technologies such as direct air capture.</w:t>
      </w:r>
    </w:p>
    <w:p w14:paraId="45AA6A74" w14:textId="316D3034" w:rsidR="00102ACA" w:rsidRDefault="00DE74E7" w:rsidP="00DE74E7">
      <w:pPr>
        <w:spacing w:before="120" w:after="0" w:line="240" w:lineRule="auto"/>
        <w:rPr>
          <w:rFonts w:cs="Arial"/>
          <w:color w:val="171717" w:themeColor="background2" w:themeShade="1A"/>
        </w:rPr>
      </w:pPr>
      <w:r w:rsidRPr="00DE74E7">
        <w:rPr>
          <w:rFonts w:cs="Arial"/>
          <w:color w:val="171717" w:themeColor="background2" w:themeShade="1A"/>
        </w:rPr>
        <w:t>Negative carbon solutions are an important component of a net-zero carbon approach and counterbalance direct GHG emissions from Company operations through either the actual capture and storage of GHG or the application of carbon offset credits created by qualifying GHG reduction projects.  While many of these negative carbon solutions are still evolving or in development across the industry and the country, Georgia Power faces some unique challenges for carbon capture and storage in the state of Georgia. Unlike some neighboring states with extensive oil and gas exploration</w:t>
      </w:r>
      <w:r w:rsidR="005405C6">
        <w:rPr>
          <w:rFonts w:cs="Arial"/>
          <w:color w:val="171717" w:themeColor="background2" w:themeShade="1A"/>
        </w:rPr>
        <w:t xml:space="preserve"> </w:t>
      </w:r>
      <w:r w:rsidRPr="00DE74E7">
        <w:rPr>
          <w:rFonts w:cs="Arial"/>
          <w:color w:val="171717" w:themeColor="background2" w:themeShade="1A"/>
        </w:rPr>
        <w:t>and development, Georgia lacks the detailed geological information needed to prepare for CCS deployment. To minimize risks to customers in a net-zero future, carbon capture technology and viable locations for storage will likely be necessary for continued fossil fuel operations. CCS could potentially be</w:t>
      </w:r>
      <w:r w:rsidR="00B91424">
        <w:rPr>
          <w:rFonts w:cs="Arial"/>
          <w:color w:val="171717" w:themeColor="background2" w:themeShade="1A"/>
        </w:rPr>
        <w:t xml:space="preserve"> </w:t>
      </w:r>
      <w:r w:rsidRPr="00DE74E7">
        <w:rPr>
          <w:rFonts w:cs="Arial"/>
          <w:color w:val="171717" w:themeColor="background2" w:themeShade="1A"/>
        </w:rPr>
        <w:t>applied as an add-o</w:t>
      </w:r>
      <w:r w:rsidR="00B91424">
        <w:rPr>
          <w:rFonts w:cs="Arial"/>
          <w:color w:val="171717" w:themeColor="background2" w:themeShade="1A"/>
        </w:rPr>
        <w:t>n</w:t>
      </w:r>
      <w:r w:rsidRPr="00DE74E7">
        <w:rPr>
          <w:rFonts w:cs="Arial"/>
          <w:color w:val="171717" w:themeColor="background2" w:themeShade="1A"/>
        </w:rPr>
        <w:t xml:space="preserve"> environmental control to a generating unit to remove GHG emissions at their source or could be used to remove GHG from ambient air, known as direct air capture (“DAC”). Due to the lack of geologic feasibility studies in the state of Georgia, Georgia Power began partnering in 2021 with Southern Company to evaluate the technical and economic viability of CCS in potential locations in Georgia.</w:t>
      </w:r>
    </w:p>
    <w:p w14:paraId="0D1E8E3D" w14:textId="0841A1CA" w:rsidR="006A0567" w:rsidRDefault="00AF7EC9" w:rsidP="00AF7EC9">
      <w:pPr>
        <w:spacing w:before="120" w:after="0" w:line="240" w:lineRule="auto"/>
        <w:rPr>
          <w:rFonts w:cs="Arial"/>
          <w:color w:val="171717" w:themeColor="background2" w:themeShade="1A"/>
        </w:rPr>
      </w:pPr>
      <w:r>
        <w:rPr>
          <w:rFonts w:cs="Arial"/>
          <w:color w:val="171717" w:themeColor="background2" w:themeShade="1A"/>
        </w:rPr>
        <w:t xml:space="preserve">In 2022, </w:t>
      </w:r>
      <w:r w:rsidRPr="00AF7EC9">
        <w:rPr>
          <w:rFonts w:cs="Arial"/>
          <w:color w:val="171717" w:themeColor="background2" w:themeShade="1A"/>
        </w:rPr>
        <w:t>Georgia Power and Mitsubishi Power, alongside the Electric Power Research Institute (EPRI), successfully validated fuel blending of hydrogen and natural gas at both partial and full load on an M501G natural gas turbine at Georgia Power’s Plant McDonough-Atkinson in Smyrna, Georgia. The demonstration project was the first to validate 20%</w:t>
      </w:r>
      <w:r w:rsidR="002115E6">
        <w:rPr>
          <w:rFonts w:cs="Arial"/>
          <w:color w:val="171717" w:themeColor="background2" w:themeShade="1A"/>
        </w:rPr>
        <w:t xml:space="preserve"> by volume</w:t>
      </w:r>
      <w:r w:rsidRPr="00AF7EC9">
        <w:rPr>
          <w:rFonts w:cs="Arial"/>
          <w:color w:val="171717" w:themeColor="background2" w:themeShade="1A"/>
        </w:rPr>
        <w:t xml:space="preserve"> hydrogen fuel blending on an advanced class gas turbine in North America, and the largest test of this kind to date, with the 20% blend providing an approximately 7% reduction in carbon emissions compared to natural gas.</w:t>
      </w:r>
      <w:r w:rsidR="002115E6">
        <w:rPr>
          <w:rFonts w:cs="Arial"/>
          <w:color w:val="171717" w:themeColor="background2" w:themeShade="1A"/>
        </w:rPr>
        <w:t xml:space="preserve"> </w:t>
      </w:r>
      <w:r w:rsidRPr="00AF7EC9">
        <w:rPr>
          <w:rFonts w:cs="Arial"/>
          <w:color w:val="171717" w:themeColor="background2" w:themeShade="1A"/>
        </w:rPr>
        <w:t xml:space="preserve">Georgia Power collaborated with Mitsubishi Power for the landmark testing as part of a continued commitment to new research and development (R&amp;D) to build the energy grid of the future and to reduce carbon emissions across its generation fleet. </w:t>
      </w:r>
    </w:p>
    <w:p w14:paraId="1E2DFC2A" w14:textId="7A36460D" w:rsidR="000D33E9" w:rsidRDefault="00D33640" w:rsidP="00146C1A">
      <w:pPr>
        <w:spacing w:before="100" w:after="0" w:line="240" w:lineRule="auto"/>
        <w:rPr>
          <w:rFonts w:cs="Arial"/>
          <w:b/>
          <w:color w:val="000080"/>
          <w:szCs w:val="24"/>
        </w:rPr>
      </w:pPr>
      <w:r>
        <w:rPr>
          <w:rFonts w:cs="Arial"/>
          <w:b/>
          <w:color w:val="000080"/>
          <w:szCs w:val="24"/>
        </w:rPr>
        <w:t>Environmental Control Alternatives Index</w:t>
      </w:r>
    </w:p>
    <w:p w14:paraId="0B3C854E" w14:textId="581D9A75" w:rsidR="0024578D" w:rsidRDefault="0024578D" w:rsidP="00146C1A">
      <w:pPr>
        <w:spacing w:before="100" w:after="0" w:line="240" w:lineRule="auto"/>
        <w:rPr>
          <w:rFonts w:cs="Arial"/>
          <w:bCs/>
          <w:color w:val="000080"/>
          <w:szCs w:val="24"/>
        </w:rPr>
      </w:pPr>
      <w:r w:rsidRPr="00FA06FB">
        <w:rPr>
          <w:rFonts w:cs="Arial"/>
          <w:bCs/>
          <w:color w:val="000080"/>
          <w:szCs w:val="24"/>
        </w:rPr>
        <w:t>I.</w:t>
      </w:r>
      <w:r w:rsidRPr="00FA06FB">
        <w:rPr>
          <w:rFonts w:cs="Arial"/>
          <w:bCs/>
          <w:color w:val="000080"/>
          <w:szCs w:val="24"/>
        </w:rPr>
        <w:tab/>
        <w:t xml:space="preserve">Low-NOX </w:t>
      </w:r>
      <w:r>
        <w:rPr>
          <w:rFonts w:cs="Arial"/>
          <w:bCs/>
          <w:color w:val="000080"/>
          <w:szCs w:val="24"/>
        </w:rPr>
        <w:t xml:space="preserve">Combustion Systems </w:t>
      </w:r>
    </w:p>
    <w:p w14:paraId="233BD6F2" w14:textId="02BB5805" w:rsidR="00FA748E" w:rsidRPr="00FA06FB" w:rsidRDefault="00FA748E" w:rsidP="00146C1A">
      <w:pPr>
        <w:spacing w:before="100" w:after="0" w:line="240" w:lineRule="auto"/>
        <w:rPr>
          <w:rFonts w:cs="Arial"/>
          <w:bCs/>
          <w:color w:val="000080"/>
          <w:szCs w:val="24"/>
        </w:rPr>
      </w:pPr>
      <w:r w:rsidRPr="00FA06FB">
        <w:rPr>
          <w:rFonts w:cs="Arial"/>
          <w:bCs/>
          <w:color w:val="000080"/>
          <w:szCs w:val="24"/>
        </w:rPr>
        <w:t>I</w:t>
      </w:r>
      <w:r w:rsidR="0024578D">
        <w:rPr>
          <w:rFonts w:cs="Arial"/>
          <w:bCs/>
          <w:color w:val="000080"/>
          <w:szCs w:val="24"/>
        </w:rPr>
        <w:t>I</w:t>
      </w:r>
      <w:r w:rsidRPr="00FA06FB">
        <w:rPr>
          <w:rFonts w:cs="Arial"/>
          <w:bCs/>
          <w:color w:val="000080"/>
          <w:szCs w:val="24"/>
        </w:rPr>
        <w:t>.</w:t>
      </w:r>
      <w:r w:rsidRPr="00FA06FB">
        <w:rPr>
          <w:rFonts w:cs="Arial"/>
          <w:bCs/>
          <w:color w:val="000080"/>
          <w:szCs w:val="24"/>
        </w:rPr>
        <w:tab/>
        <w:t xml:space="preserve">Selective Catalytic Reduction </w:t>
      </w:r>
    </w:p>
    <w:p w14:paraId="46F4F089" w14:textId="682C5F4D" w:rsidR="00FA748E" w:rsidRPr="00FA06FB" w:rsidRDefault="00FA748E" w:rsidP="00146C1A">
      <w:pPr>
        <w:spacing w:before="100" w:after="0" w:line="240" w:lineRule="auto"/>
        <w:rPr>
          <w:rFonts w:cs="Arial"/>
          <w:bCs/>
          <w:color w:val="000080"/>
          <w:szCs w:val="24"/>
        </w:rPr>
      </w:pPr>
      <w:r w:rsidRPr="00FA06FB">
        <w:rPr>
          <w:rFonts w:cs="Arial"/>
          <w:bCs/>
          <w:color w:val="000080"/>
          <w:szCs w:val="24"/>
        </w:rPr>
        <w:t>II</w:t>
      </w:r>
      <w:r w:rsidR="0024578D">
        <w:rPr>
          <w:rFonts w:cs="Arial"/>
          <w:bCs/>
          <w:color w:val="000080"/>
          <w:szCs w:val="24"/>
        </w:rPr>
        <w:t>I</w:t>
      </w:r>
      <w:r w:rsidRPr="00FA06FB">
        <w:rPr>
          <w:rFonts w:cs="Arial"/>
          <w:bCs/>
          <w:color w:val="000080"/>
          <w:szCs w:val="24"/>
        </w:rPr>
        <w:t>.</w:t>
      </w:r>
      <w:r w:rsidRPr="00FA06FB">
        <w:rPr>
          <w:rFonts w:cs="Arial"/>
          <w:bCs/>
          <w:color w:val="000080"/>
          <w:szCs w:val="24"/>
        </w:rPr>
        <w:tab/>
        <w:t xml:space="preserve">Selective Noncatalytic Reduction </w:t>
      </w:r>
    </w:p>
    <w:p w14:paraId="06C3387E" w14:textId="73FEB3A5" w:rsidR="00FA748E" w:rsidRPr="00FA06FB" w:rsidRDefault="00FA748E" w:rsidP="00146C1A">
      <w:pPr>
        <w:spacing w:before="100" w:after="0" w:line="240" w:lineRule="auto"/>
        <w:rPr>
          <w:rFonts w:cs="Arial"/>
          <w:bCs/>
          <w:color w:val="000080"/>
          <w:szCs w:val="24"/>
        </w:rPr>
      </w:pPr>
      <w:r w:rsidRPr="00FA06FB">
        <w:rPr>
          <w:rFonts w:cs="Arial"/>
          <w:bCs/>
          <w:color w:val="000080"/>
          <w:szCs w:val="24"/>
        </w:rPr>
        <w:t>I</w:t>
      </w:r>
      <w:r w:rsidR="0024578D">
        <w:rPr>
          <w:rFonts w:cs="Arial"/>
          <w:bCs/>
          <w:color w:val="000080"/>
          <w:szCs w:val="24"/>
        </w:rPr>
        <w:t>V.</w:t>
      </w:r>
      <w:r w:rsidRPr="00FA06FB">
        <w:rPr>
          <w:rFonts w:cs="Arial"/>
          <w:bCs/>
          <w:color w:val="000080"/>
          <w:szCs w:val="24"/>
        </w:rPr>
        <w:tab/>
        <w:t>Fuel Switch to Natural Gas</w:t>
      </w:r>
    </w:p>
    <w:p w14:paraId="11112C79" w14:textId="0951029E" w:rsidR="00FA748E" w:rsidRPr="00FA06FB" w:rsidRDefault="00FA748E" w:rsidP="00146C1A">
      <w:pPr>
        <w:spacing w:before="100" w:after="0" w:line="240" w:lineRule="auto"/>
        <w:rPr>
          <w:rFonts w:cs="Arial"/>
          <w:bCs/>
          <w:color w:val="000080"/>
          <w:szCs w:val="24"/>
        </w:rPr>
      </w:pPr>
      <w:r w:rsidRPr="00FA06FB">
        <w:rPr>
          <w:rFonts w:cs="Arial"/>
          <w:bCs/>
          <w:color w:val="000080"/>
          <w:szCs w:val="24"/>
        </w:rPr>
        <w:t>V.</w:t>
      </w:r>
      <w:r w:rsidRPr="00FA06FB">
        <w:rPr>
          <w:rFonts w:cs="Arial"/>
          <w:bCs/>
          <w:color w:val="000080"/>
          <w:szCs w:val="24"/>
        </w:rPr>
        <w:tab/>
      </w:r>
      <w:r w:rsidR="008051E5">
        <w:rPr>
          <w:rFonts w:cs="Arial"/>
          <w:bCs/>
          <w:color w:val="000080"/>
          <w:szCs w:val="24"/>
        </w:rPr>
        <w:t xml:space="preserve">Fuel Switch to </w:t>
      </w:r>
      <w:r w:rsidRPr="00FA06FB">
        <w:rPr>
          <w:rFonts w:cs="Arial"/>
          <w:bCs/>
          <w:color w:val="000080"/>
          <w:szCs w:val="24"/>
        </w:rPr>
        <w:t>Powder River Basin Coal</w:t>
      </w:r>
    </w:p>
    <w:p w14:paraId="6F961020" w14:textId="03DE1243" w:rsidR="00FA748E" w:rsidRPr="00FA06FB" w:rsidRDefault="00FA748E" w:rsidP="00146C1A">
      <w:pPr>
        <w:spacing w:before="100" w:after="0" w:line="240" w:lineRule="auto"/>
        <w:rPr>
          <w:rFonts w:cs="Arial"/>
          <w:bCs/>
          <w:color w:val="000080"/>
          <w:szCs w:val="24"/>
        </w:rPr>
      </w:pPr>
      <w:r w:rsidRPr="00FA06FB">
        <w:rPr>
          <w:rFonts w:cs="Arial"/>
          <w:bCs/>
          <w:color w:val="000080"/>
          <w:szCs w:val="24"/>
        </w:rPr>
        <w:t>VI.</w:t>
      </w:r>
      <w:r w:rsidRPr="00FA06FB">
        <w:rPr>
          <w:rFonts w:cs="Arial"/>
          <w:bCs/>
          <w:color w:val="000080"/>
          <w:szCs w:val="24"/>
        </w:rPr>
        <w:tab/>
        <w:t xml:space="preserve">Flue Gas Desulfurization </w:t>
      </w:r>
    </w:p>
    <w:p w14:paraId="68DB630B" w14:textId="796F43EB" w:rsidR="00FA748E" w:rsidRPr="00FA06FB" w:rsidRDefault="00FA748E" w:rsidP="00146C1A">
      <w:pPr>
        <w:spacing w:before="100" w:after="0" w:line="240" w:lineRule="auto"/>
        <w:rPr>
          <w:rFonts w:cs="Arial"/>
          <w:bCs/>
          <w:color w:val="000080"/>
          <w:szCs w:val="24"/>
        </w:rPr>
      </w:pPr>
      <w:r w:rsidRPr="00FA06FB">
        <w:rPr>
          <w:rFonts w:cs="Arial"/>
          <w:bCs/>
          <w:color w:val="000080"/>
          <w:szCs w:val="24"/>
        </w:rPr>
        <w:t>VII.</w:t>
      </w:r>
      <w:r w:rsidRPr="00FA06FB">
        <w:rPr>
          <w:rFonts w:cs="Arial"/>
          <w:bCs/>
          <w:color w:val="000080"/>
          <w:szCs w:val="24"/>
        </w:rPr>
        <w:tab/>
        <w:t xml:space="preserve">Dry Sorbent Injection </w:t>
      </w:r>
    </w:p>
    <w:p w14:paraId="41CAA895" w14:textId="77777777" w:rsidR="00FA748E" w:rsidRPr="00FA06FB" w:rsidRDefault="00FA748E" w:rsidP="00146C1A">
      <w:pPr>
        <w:spacing w:before="100" w:after="0" w:line="240" w:lineRule="auto"/>
        <w:rPr>
          <w:rFonts w:cs="Arial"/>
          <w:bCs/>
          <w:color w:val="000080"/>
          <w:szCs w:val="24"/>
        </w:rPr>
      </w:pPr>
      <w:r w:rsidRPr="00FA06FB">
        <w:rPr>
          <w:rFonts w:cs="Arial"/>
          <w:bCs/>
          <w:color w:val="000080"/>
          <w:szCs w:val="24"/>
        </w:rPr>
        <w:t>VIII.</w:t>
      </w:r>
      <w:r w:rsidRPr="00FA06FB">
        <w:rPr>
          <w:rFonts w:cs="Arial"/>
          <w:bCs/>
          <w:color w:val="000080"/>
          <w:szCs w:val="24"/>
        </w:rPr>
        <w:tab/>
        <w:t>Baghouses</w:t>
      </w:r>
    </w:p>
    <w:p w14:paraId="4FE3E4B6" w14:textId="19DABACF" w:rsidR="00FA748E" w:rsidRPr="00FA06FB" w:rsidRDefault="00FA748E" w:rsidP="00146C1A">
      <w:pPr>
        <w:spacing w:before="100" w:after="0" w:line="240" w:lineRule="auto"/>
        <w:rPr>
          <w:rFonts w:cs="Arial"/>
          <w:bCs/>
          <w:color w:val="000080"/>
          <w:szCs w:val="24"/>
        </w:rPr>
      </w:pPr>
      <w:r w:rsidRPr="00FA06FB">
        <w:rPr>
          <w:rFonts w:cs="Arial"/>
          <w:bCs/>
          <w:color w:val="000080"/>
          <w:szCs w:val="24"/>
        </w:rPr>
        <w:t>IX.</w:t>
      </w:r>
      <w:r w:rsidRPr="00FA06FB">
        <w:rPr>
          <w:rFonts w:cs="Arial"/>
          <w:bCs/>
          <w:color w:val="000080"/>
          <w:szCs w:val="24"/>
        </w:rPr>
        <w:tab/>
        <w:t xml:space="preserve">Activated Carbon Injection and Alkali Sorbent Injection </w:t>
      </w:r>
    </w:p>
    <w:p w14:paraId="02AC4F2A" w14:textId="773D5FE0" w:rsidR="00FA748E" w:rsidRPr="00FA06FB" w:rsidRDefault="00FA748E" w:rsidP="00146C1A">
      <w:pPr>
        <w:spacing w:before="100" w:after="0" w:line="240" w:lineRule="auto"/>
        <w:rPr>
          <w:rFonts w:cs="Arial"/>
          <w:bCs/>
          <w:color w:val="000080"/>
          <w:szCs w:val="24"/>
        </w:rPr>
      </w:pPr>
      <w:r w:rsidRPr="00FA06FB">
        <w:rPr>
          <w:rFonts w:cs="Arial"/>
          <w:bCs/>
          <w:color w:val="000080"/>
          <w:szCs w:val="24"/>
        </w:rPr>
        <w:t>X.</w:t>
      </w:r>
      <w:r w:rsidRPr="00FA06FB">
        <w:rPr>
          <w:rFonts w:cs="Arial"/>
          <w:bCs/>
          <w:color w:val="000080"/>
          <w:szCs w:val="24"/>
        </w:rPr>
        <w:tab/>
        <w:t xml:space="preserve">Mercury Re-emission Control Systems </w:t>
      </w:r>
    </w:p>
    <w:p w14:paraId="00DC67F2" w14:textId="77777777" w:rsidR="00FA748E" w:rsidRPr="00FA06FB" w:rsidRDefault="00FA748E" w:rsidP="00146C1A">
      <w:pPr>
        <w:spacing w:before="100" w:after="0" w:line="240" w:lineRule="auto"/>
        <w:rPr>
          <w:rFonts w:cs="Arial"/>
          <w:bCs/>
          <w:color w:val="000080"/>
          <w:szCs w:val="24"/>
        </w:rPr>
      </w:pPr>
      <w:r w:rsidRPr="00FA06FB">
        <w:rPr>
          <w:rFonts w:cs="Arial"/>
          <w:bCs/>
          <w:color w:val="000080"/>
          <w:szCs w:val="24"/>
        </w:rPr>
        <w:t>XI.</w:t>
      </w:r>
      <w:r w:rsidRPr="00FA06FB">
        <w:rPr>
          <w:rFonts w:cs="Arial"/>
          <w:bCs/>
          <w:color w:val="000080"/>
          <w:szCs w:val="24"/>
        </w:rPr>
        <w:tab/>
        <w:t>Containment and Control Technologies for Ash Storage Areas</w:t>
      </w:r>
    </w:p>
    <w:p w14:paraId="7CA4DF26" w14:textId="77777777" w:rsidR="00FA748E" w:rsidRPr="00FA06FB" w:rsidRDefault="00FA748E" w:rsidP="00146C1A">
      <w:pPr>
        <w:spacing w:before="100" w:after="0" w:line="240" w:lineRule="auto"/>
        <w:rPr>
          <w:rFonts w:cs="Arial"/>
          <w:bCs/>
          <w:color w:val="000080"/>
          <w:szCs w:val="24"/>
        </w:rPr>
      </w:pPr>
      <w:r w:rsidRPr="00FA06FB">
        <w:rPr>
          <w:rFonts w:cs="Arial"/>
          <w:bCs/>
          <w:color w:val="000080"/>
          <w:szCs w:val="24"/>
        </w:rPr>
        <w:t>XII.</w:t>
      </w:r>
      <w:r w:rsidRPr="00FA06FB">
        <w:rPr>
          <w:rFonts w:cs="Arial"/>
          <w:bCs/>
          <w:color w:val="000080"/>
          <w:szCs w:val="24"/>
        </w:rPr>
        <w:tab/>
        <w:t>Cooling Water Intake Screen Technology</w:t>
      </w:r>
    </w:p>
    <w:p w14:paraId="2B926F72" w14:textId="77777777" w:rsidR="00FA748E" w:rsidRPr="00FA06FB" w:rsidRDefault="00FA748E" w:rsidP="00146C1A">
      <w:pPr>
        <w:spacing w:before="100" w:after="0" w:line="240" w:lineRule="auto"/>
        <w:rPr>
          <w:rFonts w:cs="Arial"/>
          <w:bCs/>
          <w:color w:val="000080"/>
          <w:szCs w:val="24"/>
        </w:rPr>
      </w:pPr>
      <w:r w:rsidRPr="00FA06FB">
        <w:rPr>
          <w:rFonts w:cs="Arial"/>
          <w:bCs/>
          <w:color w:val="000080"/>
          <w:szCs w:val="24"/>
        </w:rPr>
        <w:t>XIII.</w:t>
      </w:r>
      <w:r w:rsidRPr="00FA06FB">
        <w:rPr>
          <w:rFonts w:cs="Arial"/>
          <w:bCs/>
          <w:color w:val="000080"/>
          <w:szCs w:val="24"/>
        </w:rPr>
        <w:tab/>
        <w:t>Water Cooling Technologies</w:t>
      </w:r>
    </w:p>
    <w:p w14:paraId="287CBC33" w14:textId="09B7E219" w:rsidR="00FA748E" w:rsidRPr="00FA06FB" w:rsidRDefault="00FA748E" w:rsidP="00146C1A">
      <w:pPr>
        <w:spacing w:before="100" w:after="0" w:line="240" w:lineRule="auto"/>
        <w:rPr>
          <w:rFonts w:cs="Arial"/>
          <w:bCs/>
          <w:color w:val="000080"/>
          <w:szCs w:val="24"/>
        </w:rPr>
      </w:pPr>
      <w:r w:rsidRPr="00FA06FB">
        <w:rPr>
          <w:rFonts w:cs="Arial"/>
          <w:bCs/>
          <w:color w:val="000080"/>
          <w:szCs w:val="24"/>
        </w:rPr>
        <w:t>XV.</w:t>
      </w:r>
      <w:r w:rsidRPr="00FA06FB">
        <w:rPr>
          <w:rFonts w:cs="Arial"/>
          <w:bCs/>
          <w:color w:val="000080"/>
          <w:szCs w:val="24"/>
        </w:rPr>
        <w:tab/>
      </w:r>
      <w:r w:rsidR="00122212">
        <w:rPr>
          <w:rFonts w:cs="Arial"/>
          <w:bCs/>
          <w:color w:val="000080"/>
          <w:szCs w:val="24"/>
        </w:rPr>
        <w:t xml:space="preserve">Dry or Closed-Loop </w:t>
      </w:r>
      <w:r w:rsidRPr="00FA06FB">
        <w:rPr>
          <w:rFonts w:cs="Arial"/>
          <w:bCs/>
          <w:color w:val="000080"/>
          <w:szCs w:val="24"/>
        </w:rPr>
        <w:t>Ash Handling Methods</w:t>
      </w:r>
    </w:p>
    <w:p w14:paraId="1D22562E" w14:textId="77777777" w:rsidR="00FA748E" w:rsidRPr="00FA06FB" w:rsidRDefault="00FA748E" w:rsidP="00146C1A">
      <w:pPr>
        <w:spacing w:before="100" w:after="0" w:line="240" w:lineRule="auto"/>
        <w:rPr>
          <w:rFonts w:cs="Arial"/>
          <w:bCs/>
          <w:color w:val="000080"/>
          <w:szCs w:val="24"/>
        </w:rPr>
      </w:pPr>
      <w:r w:rsidRPr="00FA06FB">
        <w:rPr>
          <w:rFonts w:cs="Arial"/>
          <w:bCs/>
          <w:color w:val="000080"/>
          <w:szCs w:val="24"/>
        </w:rPr>
        <w:t>XVI.</w:t>
      </w:r>
      <w:r w:rsidRPr="00FA06FB">
        <w:rPr>
          <w:rFonts w:cs="Arial"/>
          <w:bCs/>
          <w:color w:val="000080"/>
          <w:szCs w:val="24"/>
        </w:rPr>
        <w:tab/>
        <w:t>Landfills</w:t>
      </w:r>
    </w:p>
    <w:p w14:paraId="21829DAF" w14:textId="420129E3" w:rsidR="00FA748E" w:rsidRPr="00FA06FB" w:rsidRDefault="00FA748E" w:rsidP="00146C1A">
      <w:pPr>
        <w:spacing w:before="100" w:after="0" w:line="240" w:lineRule="auto"/>
        <w:rPr>
          <w:rFonts w:cs="Arial"/>
          <w:bCs/>
          <w:color w:val="000080"/>
          <w:szCs w:val="24"/>
        </w:rPr>
      </w:pPr>
      <w:r w:rsidRPr="00FA06FB">
        <w:rPr>
          <w:rFonts w:cs="Arial"/>
          <w:bCs/>
          <w:color w:val="000080"/>
          <w:szCs w:val="24"/>
        </w:rPr>
        <w:t>XVII.</w:t>
      </w:r>
      <w:r w:rsidRPr="00FA06FB">
        <w:rPr>
          <w:rFonts w:cs="Arial"/>
          <w:bCs/>
          <w:color w:val="000080"/>
          <w:szCs w:val="24"/>
        </w:rPr>
        <w:tab/>
        <w:t>Wastewater Treatment</w:t>
      </w:r>
    </w:p>
    <w:p w14:paraId="5422ED57" w14:textId="440E9E4B" w:rsidR="000D33E9" w:rsidRPr="00DB7156" w:rsidRDefault="000D33E9" w:rsidP="00C942DB">
      <w:pPr>
        <w:spacing w:before="120" w:after="0" w:line="240" w:lineRule="auto"/>
        <w:rPr>
          <w:rFonts w:cs="Arial"/>
          <w:b/>
          <w:caps/>
          <w:color w:val="000080"/>
          <w:szCs w:val="24"/>
          <w:u w:val="single"/>
        </w:rPr>
      </w:pPr>
      <w:r w:rsidRPr="00DB7156">
        <w:rPr>
          <w:rFonts w:cs="Arial"/>
          <w:b/>
          <w:caps/>
          <w:color w:val="000080"/>
          <w:szCs w:val="24"/>
          <w:u w:val="single"/>
        </w:rPr>
        <w:lastRenderedPageBreak/>
        <w:t>environmental Control Alternatives</w:t>
      </w:r>
    </w:p>
    <w:p w14:paraId="2D54C8ED" w14:textId="1D655B55" w:rsidR="003667B4" w:rsidRPr="00DB7156" w:rsidRDefault="003667B4" w:rsidP="003667B4">
      <w:pPr>
        <w:keepNext/>
        <w:keepLines/>
        <w:tabs>
          <w:tab w:val="left" w:pos="540"/>
        </w:tabs>
        <w:spacing w:before="120" w:after="0" w:line="240" w:lineRule="auto"/>
        <w:rPr>
          <w:rFonts w:cs="Arial"/>
          <w:b/>
          <w:color w:val="000080"/>
          <w:szCs w:val="24"/>
        </w:rPr>
      </w:pPr>
      <w:r w:rsidRPr="00DB7156">
        <w:rPr>
          <w:rFonts w:cs="Arial"/>
          <w:b/>
          <w:color w:val="000080"/>
          <w:szCs w:val="24"/>
        </w:rPr>
        <w:t>I.</w:t>
      </w:r>
      <w:r w:rsidRPr="00DB7156">
        <w:rPr>
          <w:rFonts w:cs="Arial"/>
          <w:b/>
          <w:color w:val="000080"/>
          <w:szCs w:val="24"/>
        </w:rPr>
        <w:tab/>
      </w:r>
      <w:r w:rsidRPr="00DB7156">
        <w:rPr>
          <w:rFonts w:cs="Arial"/>
          <w:b/>
          <w:color w:val="000080"/>
          <w:szCs w:val="24"/>
          <w:u w:val="single"/>
        </w:rPr>
        <w:t>Low-NO</w:t>
      </w:r>
      <w:r w:rsidRPr="00DB7156">
        <w:rPr>
          <w:rFonts w:cs="Arial"/>
          <w:b/>
          <w:color w:val="000080"/>
          <w:szCs w:val="24"/>
          <w:u w:val="single"/>
          <w:vertAlign w:val="subscript"/>
        </w:rPr>
        <w:t>X</w:t>
      </w:r>
      <w:r w:rsidRPr="00DB7156">
        <w:rPr>
          <w:rFonts w:cs="Arial"/>
          <w:b/>
          <w:color w:val="000080"/>
          <w:szCs w:val="24"/>
          <w:u w:val="single"/>
        </w:rPr>
        <w:t xml:space="preserve"> </w:t>
      </w:r>
      <w:r>
        <w:rPr>
          <w:rFonts w:cs="Arial"/>
          <w:b/>
          <w:color w:val="000080"/>
          <w:szCs w:val="24"/>
          <w:u w:val="single"/>
        </w:rPr>
        <w:t>Combustion Systems</w:t>
      </w:r>
      <w:r w:rsidR="00AF3FFA">
        <w:rPr>
          <w:rFonts w:cs="Arial"/>
          <w:b/>
          <w:color w:val="000080"/>
          <w:szCs w:val="24"/>
          <w:u w:val="single"/>
        </w:rPr>
        <w:t xml:space="preserve"> (“LNCS”)</w:t>
      </w:r>
      <w:r w:rsidRPr="00DB7156">
        <w:rPr>
          <w:rFonts w:cs="Arial"/>
          <w:b/>
          <w:color w:val="000080"/>
          <w:szCs w:val="24"/>
          <w:u w:val="single"/>
        </w:rPr>
        <w:t xml:space="preserve"> </w:t>
      </w:r>
    </w:p>
    <w:p w14:paraId="28AD07E3" w14:textId="0703A003" w:rsidR="003667B4" w:rsidRPr="00DB7156" w:rsidRDefault="003667B4" w:rsidP="003667B4">
      <w:pPr>
        <w:keepNext/>
        <w:keepLines/>
        <w:spacing w:before="120" w:after="0" w:line="240" w:lineRule="auto"/>
        <w:rPr>
          <w:rFonts w:cs="Arial"/>
          <w:szCs w:val="24"/>
        </w:rPr>
      </w:pPr>
      <w:r w:rsidRPr="00DB7156">
        <w:rPr>
          <w:rFonts w:cs="Arial"/>
          <w:szCs w:val="24"/>
        </w:rPr>
        <w:t>Low-NO</w:t>
      </w:r>
      <w:r w:rsidRPr="00DB7156">
        <w:rPr>
          <w:rFonts w:cs="Arial"/>
          <w:szCs w:val="24"/>
          <w:vertAlign w:val="subscript"/>
        </w:rPr>
        <w:t>X</w:t>
      </w:r>
      <w:r>
        <w:rPr>
          <w:rFonts w:cs="Arial"/>
          <w:szCs w:val="24"/>
        </w:rPr>
        <w:t xml:space="preserve"> combustion systems</w:t>
      </w:r>
      <w:r w:rsidRPr="00DB7156">
        <w:rPr>
          <w:rFonts w:cs="Arial"/>
          <w:szCs w:val="24"/>
        </w:rPr>
        <w:t xml:space="preserve"> </w:t>
      </w:r>
      <w:r w:rsidR="00AF3FFA">
        <w:rPr>
          <w:rFonts w:cs="Arial"/>
          <w:szCs w:val="24"/>
        </w:rPr>
        <w:t>i</w:t>
      </w:r>
      <w:r w:rsidRPr="00DB7156">
        <w:rPr>
          <w:rFonts w:cs="Arial"/>
          <w:szCs w:val="24"/>
        </w:rPr>
        <w:t>s a generic term for burner</w:t>
      </w:r>
      <w:r>
        <w:rPr>
          <w:rFonts w:cs="Arial"/>
          <w:szCs w:val="24"/>
        </w:rPr>
        <w:t>s and/or air systems</w:t>
      </w:r>
      <w:r w:rsidRPr="00DB7156">
        <w:rPr>
          <w:rFonts w:cs="Arial"/>
          <w:szCs w:val="24"/>
        </w:rPr>
        <w:t xml:space="preserve"> designed to combust fuel while reducing the amount of NO</w:t>
      </w:r>
      <w:r w:rsidRPr="00DB7156">
        <w:rPr>
          <w:rFonts w:cs="Arial"/>
          <w:szCs w:val="24"/>
          <w:vertAlign w:val="subscript"/>
        </w:rPr>
        <w:t>X</w:t>
      </w:r>
      <w:r w:rsidRPr="00DB7156">
        <w:rPr>
          <w:rFonts w:cs="Arial"/>
          <w:szCs w:val="24"/>
        </w:rPr>
        <w:t xml:space="preserve"> that is formed. Since there are several different firing arrangements for </w:t>
      </w:r>
      <w:r>
        <w:rPr>
          <w:rFonts w:cs="Arial"/>
          <w:szCs w:val="24"/>
        </w:rPr>
        <w:t>fossil fuel-fired units</w:t>
      </w:r>
      <w:r w:rsidRPr="00DB7156">
        <w:rPr>
          <w:rFonts w:cs="Arial"/>
          <w:szCs w:val="24"/>
        </w:rPr>
        <w:t xml:space="preserve">, there are several different types of </w:t>
      </w:r>
      <w:r>
        <w:rPr>
          <w:rFonts w:cs="Arial"/>
          <w:szCs w:val="24"/>
        </w:rPr>
        <w:t>LNCS</w:t>
      </w:r>
      <w:r w:rsidRPr="00DB7156">
        <w:rPr>
          <w:rFonts w:cs="Arial"/>
          <w:szCs w:val="24"/>
        </w:rPr>
        <w:t>.</w:t>
      </w:r>
    </w:p>
    <w:p w14:paraId="11145680" w14:textId="77777777" w:rsidR="003667B4" w:rsidRPr="00DB7156" w:rsidRDefault="003667B4" w:rsidP="003667B4">
      <w:pPr>
        <w:spacing w:before="120" w:after="0" w:line="240" w:lineRule="auto"/>
        <w:rPr>
          <w:rFonts w:cs="Arial"/>
          <w:szCs w:val="24"/>
        </w:rPr>
      </w:pPr>
      <w:r w:rsidRPr="00DB7156">
        <w:rPr>
          <w:rFonts w:cs="Arial"/>
          <w:szCs w:val="24"/>
        </w:rPr>
        <w:t>NO</w:t>
      </w:r>
      <w:r w:rsidRPr="00DB7156">
        <w:rPr>
          <w:rFonts w:cs="Arial"/>
          <w:szCs w:val="24"/>
          <w:vertAlign w:val="subscript"/>
        </w:rPr>
        <w:t>X</w:t>
      </w:r>
      <w:r w:rsidRPr="00DB7156">
        <w:rPr>
          <w:rFonts w:cs="Arial"/>
          <w:szCs w:val="24"/>
        </w:rPr>
        <w:t xml:space="preserve"> is formed during combustion from either the nitrogen in the fuel or the air. NO</w:t>
      </w:r>
      <w:r w:rsidRPr="00DB7156">
        <w:rPr>
          <w:rFonts w:cs="Arial"/>
          <w:szCs w:val="24"/>
          <w:vertAlign w:val="subscript"/>
        </w:rPr>
        <w:t>X</w:t>
      </w:r>
      <w:r w:rsidRPr="00DB7156">
        <w:rPr>
          <w:rFonts w:cs="Arial"/>
          <w:szCs w:val="24"/>
        </w:rPr>
        <w:t xml:space="preserve"> formed from nitrogen in air requires high-flame temperatures and because of this, is usually referred to as thermal NO</w:t>
      </w:r>
      <w:r w:rsidRPr="00DB7156">
        <w:rPr>
          <w:rFonts w:cs="Arial"/>
          <w:szCs w:val="24"/>
          <w:vertAlign w:val="subscript"/>
        </w:rPr>
        <w:t>X</w:t>
      </w:r>
      <w:r w:rsidRPr="00DB7156">
        <w:rPr>
          <w:rFonts w:cs="Arial"/>
          <w:szCs w:val="24"/>
        </w:rPr>
        <w:t xml:space="preserve">. </w:t>
      </w:r>
      <w:r>
        <w:rPr>
          <w:rFonts w:cs="Arial"/>
          <w:szCs w:val="24"/>
        </w:rPr>
        <w:t>While s</w:t>
      </w:r>
      <w:r w:rsidRPr="00DB7156">
        <w:rPr>
          <w:rFonts w:cs="Arial"/>
          <w:szCs w:val="24"/>
        </w:rPr>
        <w:t>ome fuels contain small amounts (2 percent or less) of nitrogen as a chemical constituent</w:t>
      </w:r>
      <w:r>
        <w:rPr>
          <w:rFonts w:cs="Arial"/>
          <w:szCs w:val="24"/>
        </w:rPr>
        <w:t>, thermal NOx is by far the predominant source of emissions over fuel NOx.</w:t>
      </w:r>
    </w:p>
    <w:p w14:paraId="54472778" w14:textId="77777777" w:rsidR="003667B4" w:rsidRPr="00CA5117" w:rsidRDefault="003667B4" w:rsidP="003667B4">
      <w:pPr>
        <w:spacing w:before="120" w:after="0" w:line="240" w:lineRule="auto"/>
        <w:rPr>
          <w:rFonts w:cs="Arial"/>
          <w:szCs w:val="24"/>
        </w:rPr>
      </w:pPr>
      <w:r>
        <w:rPr>
          <w:rFonts w:cs="Arial"/>
          <w:szCs w:val="24"/>
        </w:rPr>
        <w:t xml:space="preserve">LNCS can include burners that </w:t>
      </w:r>
      <w:r w:rsidRPr="00DB7156">
        <w:rPr>
          <w:rFonts w:cs="Arial"/>
          <w:szCs w:val="24"/>
        </w:rPr>
        <w:t xml:space="preserve">are designed to reduce </w:t>
      </w:r>
      <w:r>
        <w:rPr>
          <w:rFonts w:cs="Arial"/>
          <w:szCs w:val="24"/>
        </w:rPr>
        <w:t xml:space="preserve">either fuel NOx or thermal </w:t>
      </w:r>
      <w:r w:rsidRPr="00DB7156">
        <w:rPr>
          <w:rFonts w:cs="Arial"/>
          <w:szCs w:val="24"/>
        </w:rPr>
        <w:t>NO</w:t>
      </w:r>
      <w:r w:rsidRPr="00DB7156">
        <w:rPr>
          <w:rFonts w:cs="Arial"/>
          <w:szCs w:val="24"/>
          <w:vertAlign w:val="subscript"/>
        </w:rPr>
        <w:t>X</w:t>
      </w:r>
      <w:r w:rsidRPr="00DB7156">
        <w:rPr>
          <w:rFonts w:cs="Arial"/>
          <w:szCs w:val="24"/>
        </w:rPr>
        <w:t xml:space="preserve"> </w:t>
      </w:r>
      <w:r>
        <w:rPr>
          <w:rFonts w:cs="Arial"/>
          <w:szCs w:val="24"/>
        </w:rPr>
        <w:t xml:space="preserve">or both. LNCS can also include overfire air, which is </w:t>
      </w:r>
      <w:r w:rsidRPr="00DB7156">
        <w:rPr>
          <w:rFonts w:cs="Arial"/>
          <w:szCs w:val="24"/>
        </w:rPr>
        <w:t xml:space="preserve">air that is added </w:t>
      </w:r>
      <w:r>
        <w:rPr>
          <w:rFonts w:cs="Arial"/>
          <w:szCs w:val="24"/>
        </w:rPr>
        <w:t xml:space="preserve">above the main combustion zone </w:t>
      </w:r>
      <w:r w:rsidRPr="00DB7156">
        <w:rPr>
          <w:rFonts w:cs="Arial"/>
          <w:szCs w:val="24"/>
        </w:rPr>
        <w:t>to finish the combustion process</w:t>
      </w:r>
      <w:r>
        <w:rPr>
          <w:rFonts w:cs="Arial"/>
          <w:szCs w:val="24"/>
        </w:rPr>
        <w:t>, to reduce NOx</w:t>
      </w:r>
      <w:r w:rsidRPr="00DB7156">
        <w:rPr>
          <w:rFonts w:cs="Arial"/>
          <w:szCs w:val="24"/>
        </w:rPr>
        <w:t xml:space="preserve">. </w:t>
      </w:r>
      <w:r>
        <w:rPr>
          <w:rFonts w:cs="Arial"/>
          <w:szCs w:val="24"/>
        </w:rPr>
        <w:t xml:space="preserve">For all LNCS, the balance of air and fuel must be optimized to achieve NOx reduction and to minimize additional production of carbon monoxide. </w:t>
      </w:r>
    </w:p>
    <w:p w14:paraId="52AFDE55" w14:textId="372BBBEC" w:rsidR="000D33E9" w:rsidRPr="00DB7156" w:rsidRDefault="000D33E9" w:rsidP="00C942DB">
      <w:pPr>
        <w:tabs>
          <w:tab w:val="left" w:pos="540"/>
        </w:tabs>
        <w:spacing w:before="120" w:after="0" w:line="240" w:lineRule="auto"/>
        <w:rPr>
          <w:rFonts w:cs="Arial"/>
          <w:b/>
          <w:color w:val="000080"/>
          <w:szCs w:val="24"/>
        </w:rPr>
      </w:pPr>
      <w:r w:rsidRPr="00DB7156">
        <w:rPr>
          <w:rFonts w:cs="Arial"/>
          <w:b/>
          <w:color w:val="000080"/>
          <w:szCs w:val="24"/>
        </w:rPr>
        <w:t>I</w:t>
      </w:r>
      <w:r w:rsidR="00AB5975">
        <w:rPr>
          <w:rFonts w:cs="Arial"/>
          <w:b/>
          <w:color w:val="000080"/>
          <w:szCs w:val="24"/>
        </w:rPr>
        <w:t>I</w:t>
      </w:r>
      <w:r w:rsidRPr="00DB7156">
        <w:rPr>
          <w:rFonts w:cs="Arial"/>
          <w:b/>
          <w:color w:val="000080"/>
          <w:szCs w:val="24"/>
        </w:rPr>
        <w:t>.</w:t>
      </w:r>
      <w:r>
        <w:tab/>
      </w:r>
      <w:r w:rsidRPr="00DB7156">
        <w:rPr>
          <w:rFonts w:cs="Arial"/>
          <w:b/>
          <w:color w:val="000080"/>
          <w:szCs w:val="24"/>
          <w:u w:val="single"/>
        </w:rPr>
        <w:t xml:space="preserve">Selective Catalytic Reduction </w:t>
      </w:r>
      <w:r w:rsidRPr="0AF8DB6F">
        <w:rPr>
          <w:rFonts w:cs="Arial"/>
          <w:b/>
          <w:bCs/>
          <w:color w:val="000080"/>
          <w:szCs w:val="24"/>
          <w:u w:val="single"/>
        </w:rPr>
        <w:t>(“</w:t>
      </w:r>
      <w:r w:rsidRPr="00DB7156">
        <w:rPr>
          <w:rFonts w:cs="Arial"/>
          <w:b/>
          <w:color w:val="000080"/>
          <w:szCs w:val="24"/>
          <w:u w:val="single"/>
        </w:rPr>
        <w:t>SCR</w:t>
      </w:r>
      <w:r w:rsidRPr="0AF8DB6F">
        <w:rPr>
          <w:rFonts w:cs="Arial"/>
          <w:b/>
          <w:bCs/>
          <w:color w:val="000080"/>
          <w:szCs w:val="24"/>
          <w:u w:val="single"/>
        </w:rPr>
        <w:t>”)</w:t>
      </w:r>
    </w:p>
    <w:p w14:paraId="5DE2D555" w14:textId="022F57E8" w:rsidR="000D33E9" w:rsidRPr="00DB7156" w:rsidRDefault="000D33E9" w:rsidP="00C942DB">
      <w:pPr>
        <w:spacing w:before="120" w:after="0" w:line="240" w:lineRule="auto"/>
        <w:rPr>
          <w:rFonts w:cs="Arial"/>
          <w:szCs w:val="24"/>
        </w:rPr>
      </w:pPr>
      <w:r w:rsidRPr="00DB7156">
        <w:rPr>
          <w:rFonts w:cs="Arial"/>
          <w:szCs w:val="24"/>
        </w:rPr>
        <w:t>SCR technology involves the catalytic reaction of ammonia, which is injected into the flue gas, with NO</w:t>
      </w:r>
      <w:r w:rsidRPr="00DB7156">
        <w:rPr>
          <w:rFonts w:cs="Arial"/>
          <w:szCs w:val="24"/>
          <w:vertAlign w:val="subscript"/>
        </w:rPr>
        <w:t>X</w:t>
      </w:r>
      <w:r w:rsidRPr="00DB7156">
        <w:rPr>
          <w:rFonts w:cs="Arial"/>
          <w:szCs w:val="24"/>
        </w:rPr>
        <w:t xml:space="preserve"> to produce molecular nitrogen (N</w:t>
      </w:r>
      <w:r w:rsidRPr="00DB7156">
        <w:rPr>
          <w:rFonts w:cs="Arial"/>
          <w:szCs w:val="24"/>
          <w:vertAlign w:val="subscript"/>
        </w:rPr>
        <w:t>2</w:t>
      </w:r>
      <w:r>
        <w:rPr>
          <w:rFonts w:cs="Arial"/>
          <w:szCs w:val="24"/>
        </w:rPr>
        <w:t xml:space="preserve">) and water vapor. </w:t>
      </w:r>
      <w:r w:rsidRPr="00DB7156">
        <w:rPr>
          <w:rFonts w:cs="Arial"/>
          <w:szCs w:val="24"/>
        </w:rPr>
        <w:t xml:space="preserve">These reactions take place across </w:t>
      </w:r>
      <w:r w:rsidR="00CA7FCA">
        <w:rPr>
          <w:rFonts w:cs="Arial"/>
          <w:szCs w:val="24"/>
        </w:rPr>
        <w:t xml:space="preserve">one or more </w:t>
      </w:r>
      <w:r w:rsidRPr="00DB7156">
        <w:rPr>
          <w:rFonts w:cs="Arial"/>
          <w:szCs w:val="24"/>
        </w:rPr>
        <w:t>layers of catalyst in the SCR reactor and generally result in a NO</w:t>
      </w:r>
      <w:r w:rsidRPr="00DB7156">
        <w:rPr>
          <w:rFonts w:cs="Arial"/>
          <w:szCs w:val="24"/>
          <w:vertAlign w:val="subscript"/>
        </w:rPr>
        <w:t>X</w:t>
      </w:r>
      <w:r w:rsidRPr="00DB7156">
        <w:rPr>
          <w:rFonts w:cs="Arial"/>
          <w:szCs w:val="24"/>
        </w:rPr>
        <w:t xml:space="preserve"> reduction capability of 85 to 90 percent depending upon the </w:t>
      </w:r>
      <w:proofErr w:type="gramStart"/>
      <w:r w:rsidRPr="00DB7156">
        <w:rPr>
          <w:rFonts w:cs="Arial"/>
          <w:szCs w:val="24"/>
        </w:rPr>
        <w:t>particular application</w:t>
      </w:r>
      <w:proofErr w:type="gramEnd"/>
      <w:r w:rsidRPr="00DB7156">
        <w:rPr>
          <w:rFonts w:cs="Arial"/>
          <w:szCs w:val="24"/>
        </w:rPr>
        <w:t xml:space="preserve">. The SCR </w:t>
      </w:r>
      <w:r w:rsidR="00CA7FCA">
        <w:rPr>
          <w:rFonts w:cs="Arial"/>
          <w:szCs w:val="24"/>
        </w:rPr>
        <w:t xml:space="preserve">is sensitive to temperature and must be placed in an area with appropriate </w:t>
      </w:r>
      <w:r w:rsidR="00BD6AB4">
        <w:rPr>
          <w:rFonts w:cs="Arial"/>
          <w:szCs w:val="24"/>
        </w:rPr>
        <w:t>flue gas</w:t>
      </w:r>
      <w:r w:rsidRPr="00DB7156">
        <w:rPr>
          <w:rFonts w:cs="Arial"/>
          <w:szCs w:val="24"/>
        </w:rPr>
        <w:t xml:space="preserve"> temperature</w:t>
      </w:r>
      <w:r w:rsidR="00CA7FCA">
        <w:rPr>
          <w:rFonts w:cs="Arial"/>
          <w:szCs w:val="24"/>
        </w:rPr>
        <w:t>s</w:t>
      </w:r>
      <w:r w:rsidR="00BD6AB4">
        <w:rPr>
          <w:rFonts w:cs="Arial"/>
          <w:szCs w:val="24"/>
        </w:rPr>
        <w:t xml:space="preserve"> to operate optimally</w:t>
      </w:r>
      <w:r w:rsidRPr="00DB7156">
        <w:rPr>
          <w:rFonts w:cs="Arial"/>
          <w:szCs w:val="24"/>
        </w:rPr>
        <w:t xml:space="preserve">. </w:t>
      </w:r>
    </w:p>
    <w:p w14:paraId="59515CAB" w14:textId="23D526A6" w:rsidR="000D33E9" w:rsidRPr="00DB7156" w:rsidRDefault="000D33E9" w:rsidP="00C942DB">
      <w:pPr>
        <w:tabs>
          <w:tab w:val="left" w:pos="540"/>
        </w:tabs>
        <w:spacing w:before="120" w:after="0" w:line="240" w:lineRule="auto"/>
        <w:rPr>
          <w:rFonts w:cs="Arial"/>
          <w:b/>
          <w:color w:val="000080"/>
          <w:szCs w:val="24"/>
        </w:rPr>
      </w:pPr>
      <w:r w:rsidRPr="00DB7156">
        <w:rPr>
          <w:rFonts w:cs="Arial"/>
          <w:b/>
          <w:color w:val="000080"/>
          <w:szCs w:val="24"/>
        </w:rPr>
        <w:t>II</w:t>
      </w:r>
      <w:r w:rsidR="00AB5975">
        <w:rPr>
          <w:rFonts w:cs="Arial"/>
          <w:b/>
          <w:color w:val="000080"/>
          <w:szCs w:val="24"/>
        </w:rPr>
        <w:t>I</w:t>
      </w:r>
      <w:r w:rsidRPr="00DB7156">
        <w:rPr>
          <w:rFonts w:cs="Arial"/>
          <w:b/>
          <w:color w:val="000080"/>
          <w:szCs w:val="24"/>
        </w:rPr>
        <w:t>.</w:t>
      </w:r>
      <w:r>
        <w:tab/>
      </w:r>
      <w:r w:rsidRPr="00DB7156">
        <w:rPr>
          <w:rFonts w:cs="Arial"/>
          <w:b/>
          <w:color w:val="000080"/>
          <w:szCs w:val="24"/>
          <w:u w:val="single"/>
        </w:rPr>
        <w:t xml:space="preserve">Selective Noncatalytic Reduction </w:t>
      </w:r>
      <w:r w:rsidRPr="0AF8DB6F">
        <w:rPr>
          <w:rFonts w:cs="Arial"/>
          <w:b/>
          <w:bCs/>
          <w:color w:val="000080"/>
          <w:szCs w:val="24"/>
          <w:u w:val="single"/>
        </w:rPr>
        <w:t>(“</w:t>
      </w:r>
      <w:r w:rsidRPr="00DB7156">
        <w:rPr>
          <w:rFonts w:cs="Arial"/>
          <w:b/>
          <w:color w:val="000080"/>
          <w:szCs w:val="24"/>
          <w:u w:val="single"/>
        </w:rPr>
        <w:t>SNCR</w:t>
      </w:r>
      <w:r w:rsidRPr="0AF8DB6F">
        <w:rPr>
          <w:rFonts w:cs="Arial"/>
          <w:b/>
          <w:bCs/>
          <w:color w:val="000080"/>
          <w:szCs w:val="24"/>
          <w:u w:val="single"/>
        </w:rPr>
        <w:t>”)</w:t>
      </w:r>
    </w:p>
    <w:p w14:paraId="0786B6A9" w14:textId="6B6D3ED8" w:rsidR="000D33E9" w:rsidRPr="00DB7156" w:rsidRDefault="000D33E9" w:rsidP="00C942DB">
      <w:pPr>
        <w:spacing w:before="120" w:after="0" w:line="240" w:lineRule="auto"/>
        <w:rPr>
          <w:rFonts w:cs="Arial"/>
          <w:szCs w:val="24"/>
        </w:rPr>
      </w:pPr>
      <w:r w:rsidRPr="00DB7156">
        <w:rPr>
          <w:rFonts w:cs="Arial"/>
          <w:szCs w:val="24"/>
        </w:rPr>
        <w:t xml:space="preserve">SNCR employs chemical injection of ammonia or urea directly into the boiler at </w:t>
      </w:r>
      <w:r w:rsidR="003F1F46">
        <w:rPr>
          <w:rFonts w:cs="Arial"/>
          <w:szCs w:val="24"/>
        </w:rPr>
        <w:t xml:space="preserve">high </w:t>
      </w:r>
      <w:r w:rsidRPr="00DB7156">
        <w:rPr>
          <w:rFonts w:cs="Arial"/>
          <w:szCs w:val="24"/>
        </w:rPr>
        <w:t>flue gas temperature</w:t>
      </w:r>
      <w:r w:rsidR="003F1F46">
        <w:rPr>
          <w:rFonts w:cs="Arial"/>
          <w:szCs w:val="24"/>
        </w:rPr>
        <w:t>s</w:t>
      </w:r>
      <w:r w:rsidRPr="00DB7156">
        <w:rPr>
          <w:rFonts w:cs="Arial"/>
          <w:szCs w:val="24"/>
        </w:rPr>
        <w:t xml:space="preserve"> between 1,600 and 2,100°F. In this temperature range, which is typically near the top of the boiler close to the furnace exit or in the convective pass, the reagent reacts with NO</w:t>
      </w:r>
      <w:r w:rsidRPr="00DB7156">
        <w:rPr>
          <w:rFonts w:cs="Arial"/>
          <w:szCs w:val="24"/>
          <w:vertAlign w:val="subscript"/>
        </w:rPr>
        <w:t>X</w:t>
      </w:r>
      <w:r w:rsidRPr="00DB7156">
        <w:rPr>
          <w:rFonts w:cs="Arial"/>
          <w:szCs w:val="24"/>
        </w:rPr>
        <w:t xml:space="preserve"> to form nitrogen and water without the use of a catalyst to promote the reaction.</w:t>
      </w:r>
    </w:p>
    <w:p w14:paraId="761E1BFA" w14:textId="73F8044A" w:rsidR="000D33E9" w:rsidRPr="00DB7156" w:rsidRDefault="000D33E9" w:rsidP="00C942DB">
      <w:pPr>
        <w:spacing w:before="120" w:after="0" w:line="240" w:lineRule="auto"/>
        <w:rPr>
          <w:rFonts w:cs="Arial"/>
          <w:szCs w:val="24"/>
        </w:rPr>
      </w:pPr>
      <w:r w:rsidRPr="00DB7156">
        <w:rPr>
          <w:rFonts w:cs="Arial"/>
          <w:szCs w:val="24"/>
        </w:rPr>
        <w:t>Application of SNCR to utility-scale boilers is highly site specific. Generally, SNCR is capable of 15- to 40-percent NO</w:t>
      </w:r>
      <w:r w:rsidRPr="00DB7156">
        <w:rPr>
          <w:rFonts w:cs="Arial"/>
          <w:szCs w:val="24"/>
          <w:vertAlign w:val="subscript"/>
        </w:rPr>
        <w:t>X</w:t>
      </w:r>
      <w:r w:rsidRPr="00DB7156">
        <w:rPr>
          <w:rFonts w:cs="Arial"/>
          <w:szCs w:val="24"/>
        </w:rPr>
        <w:t xml:space="preserve"> removal.</w:t>
      </w:r>
      <w:r w:rsidR="008E6606">
        <w:rPr>
          <w:rFonts w:cs="Arial"/>
          <w:szCs w:val="24"/>
        </w:rPr>
        <w:t xml:space="preserve"> </w:t>
      </w:r>
      <w:r w:rsidRPr="00DB7156">
        <w:rPr>
          <w:rFonts w:cs="Arial"/>
          <w:szCs w:val="24"/>
        </w:rPr>
        <w:t xml:space="preserve">One particular benefit of SNCR as compared to SCR is that capital cost is limited due to the absence of catalyst and the associated reactor vessel. However, the difficulty in meeting temperature and distribution requirements </w:t>
      </w:r>
      <w:r w:rsidR="008E6606">
        <w:rPr>
          <w:rFonts w:cs="Arial"/>
          <w:szCs w:val="24"/>
        </w:rPr>
        <w:t xml:space="preserve">and the greater potential for ammonia slip </w:t>
      </w:r>
      <w:r w:rsidRPr="00DB7156">
        <w:rPr>
          <w:rFonts w:cs="Arial"/>
          <w:szCs w:val="24"/>
        </w:rPr>
        <w:t xml:space="preserve">makes implementation of the technology difficult on many boilers, especially on a large-scale boiler. </w:t>
      </w:r>
    </w:p>
    <w:p w14:paraId="13D64601" w14:textId="41EF24AD" w:rsidR="000D33E9" w:rsidRPr="00DB7156" w:rsidRDefault="000D33E9" w:rsidP="00C942DB">
      <w:pPr>
        <w:tabs>
          <w:tab w:val="left" w:pos="540"/>
        </w:tabs>
        <w:spacing w:before="120" w:after="0" w:line="240" w:lineRule="auto"/>
        <w:rPr>
          <w:rFonts w:cs="Arial"/>
          <w:b/>
          <w:color w:val="000080"/>
          <w:szCs w:val="24"/>
        </w:rPr>
      </w:pPr>
      <w:r w:rsidRPr="00DB7156">
        <w:rPr>
          <w:rFonts w:cs="Arial"/>
          <w:b/>
          <w:color w:val="000080"/>
          <w:szCs w:val="24"/>
        </w:rPr>
        <w:t>I</w:t>
      </w:r>
      <w:r w:rsidR="00AB5975">
        <w:rPr>
          <w:rFonts w:cs="Arial"/>
          <w:b/>
          <w:color w:val="000080"/>
          <w:szCs w:val="24"/>
        </w:rPr>
        <w:t>V</w:t>
      </w:r>
      <w:r w:rsidRPr="00DB7156">
        <w:rPr>
          <w:rFonts w:cs="Arial"/>
          <w:b/>
          <w:color w:val="000080"/>
          <w:szCs w:val="24"/>
        </w:rPr>
        <w:t>.</w:t>
      </w:r>
      <w:r w:rsidRPr="00DB7156">
        <w:rPr>
          <w:rFonts w:cs="Arial"/>
          <w:b/>
          <w:color w:val="000080"/>
          <w:szCs w:val="24"/>
        </w:rPr>
        <w:tab/>
      </w:r>
      <w:r w:rsidRPr="00DB7156">
        <w:rPr>
          <w:rFonts w:cs="Arial"/>
          <w:b/>
          <w:color w:val="000080"/>
          <w:szCs w:val="24"/>
          <w:u w:val="single"/>
        </w:rPr>
        <w:t>Fuel Switch to Natural Gas</w:t>
      </w:r>
    </w:p>
    <w:p w14:paraId="54E4E131" w14:textId="41A3981A" w:rsidR="000D33E9" w:rsidRPr="00DB7156" w:rsidRDefault="00AB395F" w:rsidP="00C942DB">
      <w:pPr>
        <w:spacing w:before="120" w:after="0" w:line="240" w:lineRule="auto"/>
        <w:rPr>
          <w:rFonts w:cs="Arial"/>
          <w:szCs w:val="24"/>
        </w:rPr>
      </w:pPr>
      <w:r>
        <w:rPr>
          <w:rFonts w:cs="Arial"/>
          <w:szCs w:val="24"/>
        </w:rPr>
        <w:t>Depending on availability of natural gas supply and pipelines, e</w:t>
      </w:r>
      <w:r w:rsidR="000D33E9" w:rsidRPr="00DB7156">
        <w:rPr>
          <w:rFonts w:cs="Arial"/>
          <w:szCs w:val="24"/>
        </w:rPr>
        <w:t xml:space="preserve">xisting coal plants </w:t>
      </w:r>
      <w:r>
        <w:rPr>
          <w:rFonts w:cs="Arial"/>
          <w:szCs w:val="24"/>
        </w:rPr>
        <w:t>may</w:t>
      </w:r>
      <w:r w:rsidR="000D33E9" w:rsidRPr="00DB7156">
        <w:rPr>
          <w:rFonts w:cs="Arial"/>
          <w:szCs w:val="24"/>
        </w:rPr>
        <w:t xml:space="preserve"> be partially or completely converted to burn natural gas instead of coal</w:t>
      </w:r>
      <w:r>
        <w:rPr>
          <w:rFonts w:cs="Arial"/>
          <w:szCs w:val="24"/>
        </w:rPr>
        <w:t xml:space="preserve"> as an emissions control strategy</w:t>
      </w:r>
      <w:r w:rsidR="009A62E6">
        <w:rPr>
          <w:rFonts w:cs="Arial"/>
          <w:szCs w:val="24"/>
        </w:rPr>
        <w:t xml:space="preserve">, since </w:t>
      </w:r>
      <w:r w:rsidR="000D33E9" w:rsidRPr="00DB7156">
        <w:rPr>
          <w:rFonts w:cs="Arial"/>
          <w:szCs w:val="24"/>
        </w:rPr>
        <w:t>natural gas contains very little sulfur</w:t>
      </w:r>
      <w:r w:rsidR="002C3330">
        <w:rPr>
          <w:rFonts w:cs="Arial"/>
          <w:szCs w:val="24"/>
        </w:rPr>
        <w:t xml:space="preserve"> and t</w:t>
      </w:r>
      <w:r w:rsidR="000D33E9" w:rsidRPr="00DB7156">
        <w:rPr>
          <w:rFonts w:cs="Arial"/>
          <w:szCs w:val="24"/>
        </w:rPr>
        <w:t>race metals are largely absent</w:t>
      </w:r>
      <w:r w:rsidR="00AB27A6">
        <w:rPr>
          <w:rFonts w:cs="Arial"/>
          <w:szCs w:val="24"/>
        </w:rPr>
        <w:t>.</w:t>
      </w:r>
      <w:r w:rsidR="000D33E9" w:rsidRPr="00DB7156">
        <w:rPr>
          <w:rFonts w:cs="Arial"/>
          <w:szCs w:val="24"/>
        </w:rPr>
        <w:t xml:space="preserve"> </w:t>
      </w:r>
    </w:p>
    <w:p w14:paraId="734D8755" w14:textId="7C1D97B7" w:rsidR="000D33E9" w:rsidRPr="00DB7156" w:rsidRDefault="000D33E9" w:rsidP="00C942DB">
      <w:pPr>
        <w:spacing w:before="120" w:after="0" w:line="240" w:lineRule="auto"/>
        <w:rPr>
          <w:rFonts w:cs="Arial"/>
          <w:szCs w:val="24"/>
        </w:rPr>
      </w:pPr>
      <w:r w:rsidRPr="00DB7156">
        <w:rPr>
          <w:rFonts w:cs="Arial"/>
          <w:szCs w:val="24"/>
        </w:rPr>
        <w:t>NO</w:t>
      </w:r>
      <w:r w:rsidRPr="003C04D8">
        <w:rPr>
          <w:rFonts w:cs="Arial"/>
          <w:szCs w:val="24"/>
          <w:vertAlign w:val="subscript"/>
        </w:rPr>
        <w:t>x</w:t>
      </w:r>
      <w:r w:rsidRPr="00DB7156">
        <w:rPr>
          <w:rFonts w:cs="Arial"/>
          <w:szCs w:val="24"/>
        </w:rPr>
        <w:t xml:space="preserve"> </w:t>
      </w:r>
      <w:r w:rsidR="00AB27A6">
        <w:rPr>
          <w:rFonts w:cs="Arial"/>
          <w:szCs w:val="24"/>
        </w:rPr>
        <w:t xml:space="preserve">emissions </w:t>
      </w:r>
      <w:r w:rsidRPr="00DB7156">
        <w:rPr>
          <w:rFonts w:cs="Arial"/>
          <w:szCs w:val="24"/>
        </w:rPr>
        <w:t xml:space="preserve">result from both fuel chemistry and from the air used in combustion. Therefore, a natural gas conversion does not automatically eliminate emissions of nitrogen oxides. The level of NOx in such a conversion is determined by the boiler design plus the presence and design of low NOx </w:t>
      </w:r>
      <w:r w:rsidR="00AB27A6">
        <w:rPr>
          <w:rFonts w:cs="Arial"/>
          <w:szCs w:val="24"/>
        </w:rPr>
        <w:t>combustion</w:t>
      </w:r>
      <w:r w:rsidRPr="00DB7156">
        <w:rPr>
          <w:rFonts w:cs="Arial"/>
          <w:szCs w:val="24"/>
        </w:rPr>
        <w:t xml:space="preserve"> systems (see the next section). </w:t>
      </w:r>
    </w:p>
    <w:p w14:paraId="377B7511" w14:textId="0C2E6BA5" w:rsidR="000D33E9" w:rsidRPr="00DB7156" w:rsidRDefault="000D33E9" w:rsidP="00C942DB">
      <w:pPr>
        <w:tabs>
          <w:tab w:val="left" w:pos="540"/>
        </w:tabs>
        <w:spacing w:before="120" w:after="0" w:line="240" w:lineRule="auto"/>
        <w:rPr>
          <w:rFonts w:cs="Arial"/>
          <w:b/>
          <w:color w:val="CC0000"/>
          <w:szCs w:val="24"/>
        </w:rPr>
      </w:pPr>
      <w:r w:rsidRPr="00DB7156">
        <w:rPr>
          <w:rFonts w:cs="Arial"/>
          <w:b/>
          <w:color w:val="000080"/>
          <w:szCs w:val="24"/>
        </w:rPr>
        <w:t>V.</w:t>
      </w:r>
      <w:r>
        <w:tab/>
      </w:r>
      <w:r w:rsidR="00763EA9">
        <w:rPr>
          <w:rFonts w:cs="Arial"/>
          <w:b/>
          <w:color w:val="000080"/>
          <w:szCs w:val="24"/>
          <w:u w:val="single"/>
        </w:rPr>
        <w:t>Fuel Switch to P</w:t>
      </w:r>
      <w:r w:rsidRPr="00DB7156">
        <w:rPr>
          <w:rFonts w:cs="Arial"/>
          <w:b/>
          <w:color w:val="000080"/>
          <w:szCs w:val="24"/>
          <w:u w:val="single"/>
        </w:rPr>
        <w:t>owder River Basin (</w:t>
      </w:r>
      <w:r>
        <w:rPr>
          <w:rFonts w:cs="Arial"/>
          <w:b/>
          <w:color w:val="000080"/>
          <w:szCs w:val="24"/>
          <w:u w:val="single"/>
        </w:rPr>
        <w:t>“</w:t>
      </w:r>
      <w:r w:rsidRPr="00DB7156">
        <w:rPr>
          <w:rFonts w:cs="Arial"/>
          <w:b/>
          <w:color w:val="000080"/>
          <w:szCs w:val="24"/>
          <w:u w:val="single"/>
        </w:rPr>
        <w:t>PRB</w:t>
      </w:r>
      <w:r>
        <w:rPr>
          <w:rFonts w:cs="Arial"/>
          <w:b/>
          <w:color w:val="000080"/>
          <w:szCs w:val="24"/>
          <w:u w:val="single"/>
        </w:rPr>
        <w:t>”</w:t>
      </w:r>
      <w:r w:rsidRPr="00DB7156">
        <w:rPr>
          <w:rFonts w:cs="Arial"/>
          <w:b/>
          <w:color w:val="000080"/>
          <w:szCs w:val="24"/>
          <w:u w:val="single"/>
        </w:rPr>
        <w:t>) Coal</w:t>
      </w:r>
    </w:p>
    <w:p w14:paraId="5FE9F351" w14:textId="4364C2FE" w:rsidR="00965189" w:rsidRDefault="000D33E9" w:rsidP="00C942DB">
      <w:pPr>
        <w:tabs>
          <w:tab w:val="left" w:pos="540"/>
        </w:tabs>
        <w:spacing w:before="120" w:after="0" w:line="240" w:lineRule="auto"/>
        <w:rPr>
          <w:rFonts w:cs="Arial"/>
          <w:szCs w:val="24"/>
        </w:rPr>
      </w:pPr>
      <w:r w:rsidRPr="00DB7156">
        <w:rPr>
          <w:rFonts w:cs="Arial"/>
          <w:szCs w:val="24"/>
        </w:rPr>
        <w:t xml:space="preserve">PRB coal is a subbituminous coal mined primarily from seams in the PRB located in Wyoming and Montana in the western United States. PRB coal </w:t>
      </w:r>
      <w:r w:rsidR="00C05302">
        <w:rPr>
          <w:rFonts w:cs="Arial"/>
          <w:szCs w:val="24"/>
        </w:rPr>
        <w:t xml:space="preserve">may be considered as an emission control strategy </w:t>
      </w:r>
      <w:r w:rsidR="00617039">
        <w:rPr>
          <w:rFonts w:cs="Arial"/>
          <w:szCs w:val="24"/>
        </w:rPr>
        <w:t xml:space="preserve">for bituminous coal-fired units </w:t>
      </w:r>
      <w:r w:rsidR="00C05302">
        <w:rPr>
          <w:rFonts w:cs="Arial"/>
          <w:szCs w:val="24"/>
        </w:rPr>
        <w:t xml:space="preserve">due to </w:t>
      </w:r>
      <w:r w:rsidRPr="00DB7156">
        <w:rPr>
          <w:rFonts w:cs="Arial"/>
          <w:szCs w:val="24"/>
        </w:rPr>
        <w:t xml:space="preserve">lower sulfur </w:t>
      </w:r>
      <w:r w:rsidR="004D4768">
        <w:rPr>
          <w:rFonts w:cs="Arial"/>
          <w:szCs w:val="24"/>
        </w:rPr>
        <w:t>content</w:t>
      </w:r>
      <w:r w:rsidRPr="00DB7156">
        <w:rPr>
          <w:rFonts w:cs="Arial"/>
          <w:szCs w:val="24"/>
        </w:rPr>
        <w:t xml:space="preserve"> that enhance</w:t>
      </w:r>
      <w:r w:rsidR="004D4768">
        <w:rPr>
          <w:rFonts w:cs="Arial"/>
          <w:szCs w:val="24"/>
        </w:rPr>
        <w:t>s</w:t>
      </w:r>
      <w:r w:rsidRPr="00DB7156">
        <w:rPr>
          <w:rFonts w:cs="Arial"/>
          <w:szCs w:val="24"/>
        </w:rPr>
        <w:t xml:space="preserve"> the ability of generating units to minimize SO</w:t>
      </w:r>
      <w:r w:rsidRPr="00DB7156">
        <w:rPr>
          <w:rFonts w:cs="Arial"/>
          <w:szCs w:val="24"/>
          <w:vertAlign w:val="subscript"/>
        </w:rPr>
        <w:t>2</w:t>
      </w:r>
      <w:r w:rsidRPr="00DB7156">
        <w:rPr>
          <w:rFonts w:cs="Arial"/>
          <w:szCs w:val="24"/>
        </w:rPr>
        <w:t xml:space="preserve"> emissions. NO</w:t>
      </w:r>
      <w:r w:rsidRPr="00DB7156">
        <w:rPr>
          <w:rFonts w:cs="Arial"/>
          <w:szCs w:val="24"/>
          <w:vertAlign w:val="subscript"/>
        </w:rPr>
        <w:t>X</w:t>
      </w:r>
      <w:r w:rsidRPr="00DB7156">
        <w:rPr>
          <w:rFonts w:cs="Arial"/>
          <w:szCs w:val="24"/>
        </w:rPr>
        <w:t xml:space="preserve"> </w:t>
      </w:r>
      <w:r w:rsidR="004D4768">
        <w:rPr>
          <w:rFonts w:cs="Arial"/>
          <w:szCs w:val="24"/>
        </w:rPr>
        <w:t xml:space="preserve">emission </w:t>
      </w:r>
      <w:r w:rsidRPr="00DB7156">
        <w:rPr>
          <w:rFonts w:cs="Arial"/>
          <w:szCs w:val="24"/>
        </w:rPr>
        <w:t xml:space="preserve">reductions are </w:t>
      </w:r>
      <w:r w:rsidR="004D4768">
        <w:rPr>
          <w:rFonts w:cs="Arial"/>
          <w:szCs w:val="24"/>
        </w:rPr>
        <w:t xml:space="preserve">also </w:t>
      </w:r>
      <w:r w:rsidRPr="00DB7156">
        <w:rPr>
          <w:rFonts w:cs="Arial"/>
          <w:szCs w:val="24"/>
        </w:rPr>
        <w:t xml:space="preserve">realized because of the lower combustion flame temperature </w:t>
      </w:r>
      <w:r w:rsidRPr="00DB7156">
        <w:rPr>
          <w:rFonts w:cs="Arial"/>
          <w:szCs w:val="24"/>
        </w:rPr>
        <w:lastRenderedPageBreak/>
        <w:t xml:space="preserve">brought about by the higher moisture content in PRB coal. With this increase in moisture content come lower heat contents (heating values), possible loss of generation </w:t>
      </w:r>
      <w:r w:rsidR="00F63937">
        <w:rPr>
          <w:rFonts w:cs="Arial"/>
          <w:szCs w:val="24"/>
        </w:rPr>
        <w:t xml:space="preserve">capacity </w:t>
      </w:r>
      <w:r w:rsidRPr="00DB7156">
        <w:rPr>
          <w:rFonts w:cs="Arial"/>
          <w:szCs w:val="24"/>
        </w:rPr>
        <w:t>due to unit</w:t>
      </w:r>
      <w:r w:rsidR="00617039">
        <w:rPr>
          <w:rFonts w:cs="Arial"/>
          <w:szCs w:val="24"/>
        </w:rPr>
        <w:t xml:space="preserve"> </w:t>
      </w:r>
      <w:r w:rsidRPr="00DB7156">
        <w:rPr>
          <w:rFonts w:cs="Arial"/>
          <w:szCs w:val="24"/>
        </w:rPr>
        <w:t xml:space="preserve">load derating, </w:t>
      </w:r>
      <w:r w:rsidR="007E6F99">
        <w:rPr>
          <w:rFonts w:cs="Arial"/>
          <w:szCs w:val="24"/>
        </w:rPr>
        <w:t>i</w:t>
      </w:r>
      <w:r w:rsidRPr="00DB7156">
        <w:rPr>
          <w:rFonts w:cs="Arial"/>
          <w:szCs w:val="24"/>
        </w:rPr>
        <w:t>ncreased heat rate</w:t>
      </w:r>
      <w:r w:rsidR="00617039">
        <w:rPr>
          <w:rFonts w:cs="Arial"/>
          <w:szCs w:val="24"/>
        </w:rPr>
        <w:t>,</w:t>
      </w:r>
      <w:r w:rsidRPr="00DB7156">
        <w:rPr>
          <w:rFonts w:cs="Arial"/>
          <w:szCs w:val="24"/>
        </w:rPr>
        <w:t xml:space="preserve"> and </w:t>
      </w:r>
      <w:r w:rsidR="00BC05F1">
        <w:rPr>
          <w:rFonts w:cs="Arial"/>
          <w:szCs w:val="24"/>
        </w:rPr>
        <w:t>often</w:t>
      </w:r>
      <w:r w:rsidR="00617039">
        <w:rPr>
          <w:rFonts w:cs="Arial"/>
          <w:szCs w:val="24"/>
        </w:rPr>
        <w:t xml:space="preserve"> </w:t>
      </w:r>
      <w:r w:rsidRPr="00DB7156">
        <w:rPr>
          <w:rFonts w:cs="Arial"/>
          <w:szCs w:val="24"/>
        </w:rPr>
        <w:t>higher operating and maintenance costs</w:t>
      </w:r>
      <w:r w:rsidR="00617039">
        <w:rPr>
          <w:rFonts w:cs="Arial"/>
          <w:szCs w:val="24"/>
        </w:rPr>
        <w:t>.</w:t>
      </w:r>
      <w:r w:rsidRPr="00DB7156">
        <w:rPr>
          <w:rFonts w:cs="Arial"/>
          <w:szCs w:val="24"/>
        </w:rPr>
        <w:t xml:space="preserve"> </w:t>
      </w:r>
      <w:r w:rsidR="00BC05F1">
        <w:rPr>
          <w:rFonts w:cs="Arial"/>
          <w:szCs w:val="24"/>
        </w:rPr>
        <w:t xml:space="preserve">The considerations for a fuel switch to PRB coal are highly dependent on site-specific operating characteristics and </w:t>
      </w:r>
      <w:r w:rsidR="004958CA">
        <w:rPr>
          <w:rFonts w:cs="Arial"/>
          <w:szCs w:val="24"/>
        </w:rPr>
        <w:t xml:space="preserve">equipment </w:t>
      </w:r>
      <w:r w:rsidR="00BC05F1">
        <w:rPr>
          <w:rFonts w:cs="Arial"/>
          <w:szCs w:val="24"/>
        </w:rPr>
        <w:t>layout.</w:t>
      </w:r>
    </w:p>
    <w:p w14:paraId="7593B553" w14:textId="38DD6548" w:rsidR="000D33E9" w:rsidRDefault="000D33E9" w:rsidP="00C942DB">
      <w:pPr>
        <w:tabs>
          <w:tab w:val="left" w:pos="540"/>
        </w:tabs>
        <w:spacing w:before="120" w:after="0" w:line="240" w:lineRule="auto"/>
        <w:rPr>
          <w:rFonts w:cs="Arial"/>
          <w:b/>
          <w:color w:val="000080"/>
          <w:szCs w:val="24"/>
          <w:u w:val="single"/>
        </w:rPr>
      </w:pPr>
      <w:r w:rsidRPr="00DB7156">
        <w:rPr>
          <w:rFonts w:cs="Arial"/>
          <w:b/>
          <w:color w:val="000080"/>
          <w:szCs w:val="24"/>
        </w:rPr>
        <w:t>VI.</w:t>
      </w:r>
      <w:r>
        <w:tab/>
      </w:r>
      <w:r w:rsidR="004958CA">
        <w:rPr>
          <w:rFonts w:cs="Arial"/>
          <w:b/>
          <w:color w:val="000080"/>
          <w:szCs w:val="24"/>
          <w:u w:val="single"/>
        </w:rPr>
        <w:t>Scrubber or F</w:t>
      </w:r>
      <w:r w:rsidRPr="00DB7156">
        <w:rPr>
          <w:rFonts w:cs="Arial"/>
          <w:b/>
          <w:color w:val="000080"/>
          <w:szCs w:val="24"/>
          <w:u w:val="single"/>
        </w:rPr>
        <w:t>lue Gas Desulfurization (</w:t>
      </w:r>
      <w:r>
        <w:rPr>
          <w:rFonts w:cs="Arial"/>
          <w:b/>
          <w:color w:val="000080"/>
          <w:szCs w:val="24"/>
          <w:u w:val="single"/>
        </w:rPr>
        <w:t>“</w:t>
      </w:r>
      <w:r w:rsidRPr="00DB7156">
        <w:rPr>
          <w:rFonts w:cs="Arial"/>
          <w:b/>
          <w:color w:val="000080"/>
          <w:szCs w:val="24"/>
          <w:u w:val="single"/>
        </w:rPr>
        <w:t>FGD</w:t>
      </w:r>
      <w:r>
        <w:rPr>
          <w:rFonts w:cs="Arial"/>
          <w:b/>
          <w:color w:val="000080"/>
          <w:szCs w:val="24"/>
          <w:u w:val="single"/>
        </w:rPr>
        <w:t>”</w:t>
      </w:r>
      <w:r w:rsidRPr="00DB7156">
        <w:rPr>
          <w:rFonts w:cs="Arial"/>
          <w:b/>
          <w:color w:val="000080"/>
          <w:szCs w:val="24"/>
          <w:u w:val="single"/>
        </w:rPr>
        <w:t>)</w:t>
      </w:r>
    </w:p>
    <w:p w14:paraId="4C8098A8" w14:textId="63333B3B" w:rsidR="000D33E9" w:rsidRPr="00DB7156" w:rsidRDefault="00AB5975" w:rsidP="00C942DB">
      <w:pPr>
        <w:spacing w:before="120" w:after="0" w:line="240" w:lineRule="auto"/>
        <w:rPr>
          <w:rFonts w:cs="Arial"/>
          <w:szCs w:val="24"/>
        </w:rPr>
      </w:pPr>
      <w:r>
        <w:rPr>
          <w:rFonts w:cs="Arial"/>
          <w:szCs w:val="24"/>
        </w:rPr>
        <w:t xml:space="preserve">A Scrubber or </w:t>
      </w:r>
      <w:r w:rsidR="000D33E9" w:rsidRPr="00DB7156">
        <w:rPr>
          <w:rFonts w:cs="Arial"/>
          <w:szCs w:val="24"/>
        </w:rPr>
        <w:t xml:space="preserve">FGD is any process that removes sulfur oxides, </w:t>
      </w:r>
      <w:r w:rsidR="00195539">
        <w:rPr>
          <w:rFonts w:cs="Arial"/>
          <w:szCs w:val="24"/>
        </w:rPr>
        <w:t xml:space="preserve">which </w:t>
      </w:r>
      <w:r w:rsidR="000D33E9" w:rsidRPr="00DB7156">
        <w:rPr>
          <w:rFonts w:cs="Arial"/>
          <w:szCs w:val="24"/>
        </w:rPr>
        <w:t>primarily SO</w:t>
      </w:r>
      <w:r w:rsidR="000D33E9" w:rsidRPr="00DB7156">
        <w:rPr>
          <w:rFonts w:cs="Arial"/>
          <w:szCs w:val="24"/>
          <w:vertAlign w:val="subscript"/>
        </w:rPr>
        <w:t>2</w:t>
      </w:r>
      <w:r>
        <w:rPr>
          <w:rFonts w:cs="Arial"/>
          <w:szCs w:val="24"/>
        </w:rPr>
        <w:t>, from flue gas.</w:t>
      </w:r>
      <w:r w:rsidR="000D33E9" w:rsidRPr="00DB7156">
        <w:rPr>
          <w:rFonts w:cs="Arial"/>
          <w:szCs w:val="24"/>
        </w:rPr>
        <w:t xml:space="preserve"> </w:t>
      </w:r>
      <w:r w:rsidR="00A0715D">
        <w:rPr>
          <w:rFonts w:cs="Arial"/>
          <w:szCs w:val="24"/>
        </w:rPr>
        <w:t>W</w:t>
      </w:r>
      <w:r w:rsidR="000D33E9" w:rsidRPr="00DB7156">
        <w:rPr>
          <w:rFonts w:cs="Arial"/>
          <w:szCs w:val="24"/>
        </w:rPr>
        <w:t xml:space="preserve">et </w:t>
      </w:r>
      <w:r w:rsidR="00A0715D">
        <w:rPr>
          <w:rFonts w:cs="Arial"/>
          <w:szCs w:val="24"/>
        </w:rPr>
        <w:t xml:space="preserve">scrubber </w:t>
      </w:r>
      <w:r w:rsidR="000D33E9" w:rsidRPr="00DB7156">
        <w:rPr>
          <w:rFonts w:cs="Arial"/>
          <w:szCs w:val="24"/>
        </w:rPr>
        <w:t>processes collect the SO</w:t>
      </w:r>
      <w:r w:rsidR="005758B9">
        <w:rPr>
          <w:rFonts w:cs="Arial"/>
          <w:szCs w:val="24"/>
          <w:vertAlign w:val="subscript"/>
        </w:rPr>
        <w:t>2</w:t>
      </w:r>
      <w:r w:rsidR="000D33E9" w:rsidRPr="00DB7156">
        <w:rPr>
          <w:rFonts w:cs="Arial"/>
          <w:szCs w:val="24"/>
        </w:rPr>
        <w:t xml:space="preserve"> by treating the flue gas with a water-based solution or slurry. One typical design the utility industry uses is a spray tower module where the flue gas flows up the tower and a series of nozzles spray an alkaline solution</w:t>
      </w:r>
      <w:r w:rsidR="00A715B9">
        <w:rPr>
          <w:rFonts w:cs="Arial"/>
          <w:szCs w:val="24"/>
        </w:rPr>
        <w:t>, typically limestone based,</w:t>
      </w:r>
      <w:r w:rsidR="000D33E9" w:rsidRPr="00DB7156">
        <w:rPr>
          <w:rFonts w:cs="Arial"/>
          <w:szCs w:val="24"/>
        </w:rPr>
        <w:t xml:space="preserve"> into the flue gas. </w:t>
      </w:r>
      <w:r w:rsidR="005758B9">
        <w:rPr>
          <w:rFonts w:cs="Arial"/>
          <w:szCs w:val="24"/>
        </w:rPr>
        <w:t>Another type is a jet bubbling reactor where the flue gas flows into a lim</w:t>
      </w:r>
      <w:r w:rsidR="00A715B9">
        <w:rPr>
          <w:rFonts w:cs="Arial"/>
          <w:szCs w:val="24"/>
        </w:rPr>
        <w:t>estone slurry bath</w:t>
      </w:r>
      <w:r w:rsidR="006F401A">
        <w:rPr>
          <w:rFonts w:cs="Arial"/>
          <w:szCs w:val="24"/>
        </w:rPr>
        <w:t xml:space="preserve">. </w:t>
      </w:r>
      <w:r w:rsidR="000D33E9" w:rsidRPr="00DB7156">
        <w:rPr>
          <w:rFonts w:cs="Arial"/>
          <w:szCs w:val="24"/>
        </w:rPr>
        <w:t xml:space="preserve">The chemical </w:t>
      </w:r>
      <w:r w:rsidR="006F401A">
        <w:rPr>
          <w:rFonts w:cs="Arial"/>
          <w:szCs w:val="24"/>
        </w:rPr>
        <w:t xml:space="preserve">reaction </w:t>
      </w:r>
      <w:r w:rsidR="000D33E9" w:rsidRPr="00DB7156">
        <w:rPr>
          <w:rFonts w:cs="Arial"/>
          <w:szCs w:val="24"/>
        </w:rPr>
        <w:t xml:space="preserve">in wet </w:t>
      </w:r>
      <w:r w:rsidR="000D33E9">
        <w:rPr>
          <w:rFonts w:cs="Arial"/>
          <w:szCs w:val="24"/>
        </w:rPr>
        <w:t>FGD</w:t>
      </w:r>
      <w:r w:rsidR="000D33E9" w:rsidRPr="00DB7156">
        <w:rPr>
          <w:rFonts w:cs="Arial"/>
          <w:szCs w:val="24"/>
        </w:rPr>
        <w:t xml:space="preserve">s </w:t>
      </w:r>
      <w:r w:rsidR="006F401A">
        <w:rPr>
          <w:rFonts w:cs="Arial"/>
          <w:szCs w:val="24"/>
        </w:rPr>
        <w:t>between</w:t>
      </w:r>
      <w:r w:rsidR="000D33E9" w:rsidRPr="00DB7156">
        <w:rPr>
          <w:rFonts w:cs="Arial"/>
          <w:szCs w:val="24"/>
        </w:rPr>
        <w:t xml:space="preserve"> limestone </w:t>
      </w:r>
      <w:r w:rsidR="006F401A">
        <w:rPr>
          <w:rFonts w:cs="Arial"/>
          <w:szCs w:val="24"/>
        </w:rPr>
        <w:t xml:space="preserve">and </w:t>
      </w:r>
      <w:r w:rsidR="006F401A" w:rsidRPr="00DB7156">
        <w:rPr>
          <w:rFonts w:cs="Arial"/>
          <w:szCs w:val="24"/>
        </w:rPr>
        <w:t>SO</w:t>
      </w:r>
      <w:r w:rsidR="006F401A">
        <w:rPr>
          <w:rFonts w:cs="Arial"/>
          <w:szCs w:val="24"/>
          <w:vertAlign w:val="subscript"/>
        </w:rPr>
        <w:t>2</w:t>
      </w:r>
      <w:r w:rsidR="006F401A" w:rsidRPr="00DB7156">
        <w:rPr>
          <w:rFonts w:cs="Arial"/>
          <w:szCs w:val="24"/>
        </w:rPr>
        <w:t xml:space="preserve"> </w:t>
      </w:r>
      <w:r w:rsidR="000D33E9" w:rsidRPr="00DB7156">
        <w:rPr>
          <w:rFonts w:cs="Arial"/>
          <w:szCs w:val="24"/>
        </w:rPr>
        <w:t>produce</w:t>
      </w:r>
      <w:r w:rsidR="00AC7791">
        <w:rPr>
          <w:rFonts w:cs="Arial"/>
          <w:szCs w:val="24"/>
        </w:rPr>
        <w:t>s</w:t>
      </w:r>
      <w:r w:rsidR="000D33E9" w:rsidRPr="00DB7156">
        <w:rPr>
          <w:rFonts w:cs="Arial"/>
          <w:szCs w:val="24"/>
        </w:rPr>
        <w:t xml:space="preserve"> predominantly calcium sulfate, or gypsum.</w:t>
      </w:r>
      <w:r w:rsidR="000D33E9">
        <w:rPr>
          <w:rFonts w:cs="Arial"/>
          <w:szCs w:val="24"/>
        </w:rPr>
        <w:t xml:space="preserve"> </w:t>
      </w:r>
      <w:r w:rsidR="000D33E9" w:rsidRPr="00DB7156">
        <w:rPr>
          <w:rFonts w:cs="Arial"/>
          <w:szCs w:val="24"/>
        </w:rPr>
        <w:t xml:space="preserve">The wet processes are very efficient and </w:t>
      </w:r>
      <w:r w:rsidR="00A86548">
        <w:rPr>
          <w:rFonts w:cs="Arial"/>
          <w:szCs w:val="24"/>
        </w:rPr>
        <w:t xml:space="preserve">typically remove 95 percent </w:t>
      </w:r>
      <w:r w:rsidR="000D33E9" w:rsidRPr="00DB7156">
        <w:rPr>
          <w:rFonts w:cs="Arial"/>
          <w:szCs w:val="24"/>
        </w:rPr>
        <w:t>of the SO</w:t>
      </w:r>
      <w:r w:rsidR="000D33E9" w:rsidRPr="00DB7156">
        <w:rPr>
          <w:rFonts w:cs="Arial"/>
          <w:szCs w:val="24"/>
          <w:vertAlign w:val="subscript"/>
        </w:rPr>
        <w:t>2</w:t>
      </w:r>
      <w:r w:rsidR="000D33E9" w:rsidRPr="00DB7156">
        <w:rPr>
          <w:rFonts w:cs="Arial"/>
          <w:szCs w:val="24"/>
        </w:rPr>
        <w:t xml:space="preserve"> in flue gas.</w:t>
      </w:r>
    </w:p>
    <w:p w14:paraId="03F27B21" w14:textId="05ED653A" w:rsidR="000D33E9" w:rsidRPr="00DB7156" w:rsidRDefault="000D33E9" w:rsidP="00C942DB">
      <w:pPr>
        <w:spacing w:before="120" w:after="0" w:line="240" w:lineRule="auto"/>
        <w:rPr>
          <w:rFonts w:cs="Arial"/>
          <w:szCs w:val="24"/>
        </w:rPr>
      </w:pPr>
      <w:r w:rsidRPr="00DB7156">
        <w:rPr>
          <w:rFonts w:cs="Arial"/>
          <w:szCs w:val="24"/>
        </w:rPr>
        <w:t xml:space="preserve">Dry processes </w:t>
      </w:r>
      <w:r w:rsidR="004027F2">
        <w:rPr>
          <w:rFonts w:cs="Arial"/>
          <w:szCs w:val="24"/>
        </w:rPr>
        <w:t xml:space="preserve">typically </w:t>
      </w:r>
      <w:r w:rsidRPr="00DB7156">
        <w:rPr>
          <w:rFonts w:cs="Arial"/>
          <w:szCs w:val="24"/>
        </w:rPr>
        <w:t>inject an alkaline slurry into the flue gas stream in a spray dryer followed by a particulate control device. The spray dryer is a unit where the hot flue gases are contacted with the wet alkaline spray that absorbs the SO</w:t>
      </w:r>
      <w:r w:rsidRPr="00DB7156">
        <w:rPr>
          <w:rFonts w:cs="Arial"/>
          <w:szCs w:val="24"/>
          <w:vertAlign w:val="subscript"/>
        </w:rPr>
        <w:t>2</w:t>
      </w:r>
      <w:r w:rsidRPr="00DB7156">
        <w:rPr>
          <w:rFonts w:cs="Arial"/>
          <w:szCs w:val="24"/>
        </w:rPr>
        <w:t xml:space="preserve">. The hot flue gas evaporates the water and leaves a dry residue that can then be captured with the fly ash, typically in a baghouse. The residue contains a mixture of calcium sulfite/sulfate, along with the fly ash from the fuel. This waste is </w:t>
      </w:r>
      <w:r w:rsidR="00147ADC">
        <w:rPr>
          <w:rFonts w:cs="Arial"/>
          <w:szCs w:val="24"/>
        </w:rPr>
        <w:t xml:space="preserve">generally </w:t>
      </w:r>
      <w:r w:rsidRPr="00DB7156">
        <w:rPr>
          <w:rFonts w:cs="Arial"/>
          <w:szCs w:val="24"/>
        </w:rPr>
        <w:t>not suitable for other uses and must be disposed of in a landfill. Historically, dry scrubbing is considered to typically remove 75 to 90 percent of the SO</w:t>
      </w:r>
      <w:r w:rsidRPr="00DB7156">
        <w:rPr>
          <w:rFonts w:cs="Arial"/>
          <w:szCs w:val="24"/>
          <w:vertAlign w:val="subscript"/>
        </w:rPr>
        <w:t>2</w:t>
      </w:r>
      <w:r w:rsidRPr="00DB7156">
        <w:rPr>
          <w:rFonts w:cs="Arial"/>
          <w:szCs w:val="24"/>
        </w:rPr>
        <w:t xml:space="preserve"> in flue gas.</w:t>
      </w:r>
    </w:p>
    <w:p w14:paraId="73E65780" w14:textId="77777777" w:rsidR="000D33E9" w:rsidRPr="00DB7156" w:rsidRDefault="000D33E9" w:rsidP="00C942DB">
      <w:pPr>
        <w:tabs>
          <w:tab w:val="left" w:pos="540"/>
        </w:tabs>
        <w:spacing w:before="120" w:after="0" w:line="240" w:lineRule="auto"/>
        <w:rPr>
          <w:rFonts w:cs="Arial"/>
          <w:b/>
          <w:color w:val="000080"/>
          <w:szCs w:val="24"/>
          <w:u w:val="single"/>
        </w:rPr>
      </w:pPr>
      <w:r w:rsidRPr="00DB7156">
        <w:rPr>
          <w:rFonts w:cs="Arial"/>
          <w:b/>
          <w:color w:val="000080"/>
          <w:szCs w:val="24"/>
        </w:rPr>
        <w:t>VII.</w:t>
      </w:r>
      <w:r>
        <w:tab/>
      </w:r>
      <w:r w:rsidRPr="00DB7156">
        <w:rPr>
          <w:rFonts w:cs="Arial"/>
          <w:b/>
          <w:color w:val="000080"/>
          <w:szCs w:val="24"/>
          <w:u w:val="single"/>
        </w:rPr>
        <w:t>Dry Sorbent Injection (</w:t>
      </w:r>
      <w:r>
        <w:rPr>
          <w:rFonts w:cs="Arial"/>
          <w:b/>
          <w:color w:val="000080"/>
          <w:szCs w:val="24"/>
          <w:u w:val="single"/>
        </w:rPr>
        <w:t>“</w:t>
      </w:r>
      <w:r w:rsidRPr="00DB7156">
        <w:rPr>
          <w:rFonts w:cs="Arial"/>
          <w:b/>
          <w:color w:val="000080"/>
          <w:szCs w:val="24"/>
          <w:u w:val="single"/>
        </w:rPr>
        <w:t>DSI</w:t>
      </w:r>
      <w:r>
        <w:rPr>
          <w:rFonts w:cs="Arial"/>
          <w:b/>
          <w:color w:val="000080"/>
          <w:szCs w:val="24"/>
          <w:u w:val="single"/>
        </w:rPr>
        <w:t>”</w:t>
      </w:r>
      <w:r w:rsidRPr="00DB7156">
        <w:rPr>
          <w:rFonts w:cs="Arial"/>
          <w:b/>
          <w:color w:val="000080"/>
          <w:szCs w:val="24"/>
          <w:u w:val="single"/>
        </w:rPr>
        <w:t>)</w:t>
      </w:r>
    </w:p>
    <w:p w14:paraId="37E72908" w14:textId="4CC86304" w:rsidR="000D33E9" w:rsidRPr="00DB7156" w:rsidRDefault="000D33E9" w:rsidP="00C942DB">
      <w:pPr>
        <w:spacing w:before="120" w:after="0" w:line="240" w:lineRule="auto"/>
        <w:rPr>
          <w:rFonts w:cs="Arial"/>
          <w:szCs w:val="24"/>
        </w:rPr>
      </w:pPr>
      <w:r w:rsidRPr="00DB7156">
        <w:rPr>
          <w:rFonts w:cs="Arial"/>
          <w:szCs w:val="24"/>
        </w:rPr>
        <w:t>Dry sorbent injection is a technology that can help reduce acid gas emissions</w:t>
      </w:r>
      <w:r w:rsidR="00657F08">
        <w:rPr>
          <w:rFonts w:cs="Arial"/>
          <w:szCs w:val="24"/>
        </w:rPr>
        <w:t xml:space="preserve">, such as hydrogen chloride (HCl) </w:t>
      </w:r>
      <w:r w:rsidRPr="00DB7156">
        <w:rPr>
          <w:rFonts w:cs="Arial"/>
          <w:szCs w:val="24"/>
        </w:rPr>
        <w:t xml:space="preserve">through two basic steps. In step one, a powdered sorbent is injected into the flue gas where it reacts with the HCl. The sorbents </w:t>
      </w:r>
      <w:proofErr w:type="gramStart"/>
      <w:r w:rsidRPr="00DB7156">
        <w:rPr>
          <w:rFonts w:cs="Arial"/>
          <w:szCs w:val="24"/>
        </w:rPr>
        <w:t>most commonly associated</w:t>
      </w:r>
      <w:proofErr w:type="gramEnd"/>
      <w:r w:rsidRPr="00DB7156">
        <w:rPr>
          <w:rFonts w:cs="Arial"/>
          <w:szCs w:val="24"/>
        </w:rPr>
        <w:t xml:space="preserve"> with DSI are trona (sodium sesquicarbonate, a naturally occurring mineral mined in Wyoming), sodium bicarbonate, and hydrated lime. </w:t>
      </w:r>
      <w:r w:rsidR="00465D09">
        <w:rPr>
          <w:rFonts w:cs="Arial"/>
          <w:szCs w:val="24"/>
        </w:rPr>
        <w:t>F</w:t>
      </w:r>
      <w:r w:rsidRPr="00DB7156">
        <w:rPr>
          <w:rFonts w:cs="Arial"/>
          <w:szCs w:val="24"/>
        </w:rPr>
        <w:t xml:space="preserve">or step two, the compound is removed by a downstream </w:t>
      </w:r>
      <w:r>
        <w:rPr>
          <w:rFonts w:cs="Arial"/>
          <w:szCs w:val="24"/>
        </w:rPr>
        <w:t>PM</w:t>
      </w:r>
      <w:r w:rsidRPr="00DB7156">
        <w:rPr>
          <w:rFonts w:cs="Arial"/>
          <w:szCs w:val="24"/>
        </w:rPr>
        <w:t xml:space="preserve"> control device such as an ESP or a baghouse</w:t>
      </w:r>
      <w:r w:rsidR="00465D09">
        <w:rPr>
          <w:rFonts w:cs="Arial"/>
          <w:szCs w:val="24"/>
        </w:rPr>
        <w:t xml:space="preserve">, with HCl removal performance </w:t>
      </w:r>
      <w:r w:rsidR="00AF6A8C">
        <w:rPr>
          <w:rFonts w:cs="Arial"/>
          <w:szCs w:val="24"/>
        </w:rPr>
        <w:t xml:space="preserve">highly </w:t>
      </w:r>
      <w:r w:rsidR="00465D09">
        <w:rPr>
          <w:rFonts w:cs="Arial"/>
          <w:szCs w:val="24"/>
        </w:rPr>
        <w:t>dependent on site-specific factors</w:t>
      </w:r>
      <w:r w:rsidRPr="00DB7156">
        <w:rPr>
          <w:rFonts w:cs="Arial"/>
          <w:szCs w:val="24"/>
        </w:rPr>
        <w:t xml:space="preserve">. </w:t>
      </w:r>
    </w:p>
    <w:p w14:paraId="2709FE01" w14:textId="28B0657B" w:rsidR="000D33E9" w:rsidRPr="00DB7156" w:rsidRDefault="000D33E9" w:rsidP="00C942DB">
      <w:pPr>
        <w:spacing w:before="120" w:after="0" w:line="240" w:lineRule="auto"/>
        <w:rPr>
          <w:rFonts w:cs="Arial"/>
        </w:rPr>
      </w:pPr>
      <w:r w:rsidRPr="43AD390E">
        <w:rPr>
          <w:rFonts w:cs="Arial"/>
        </w:rPr>
        <w:t>DSI systems generally do not require significant capital expenses but may rely on significant quantities of sorbent to operate effectively, which increases the operating costs. Waste disposal for DSI may also be a significant variable cost. In addition, DSI's potential effectiveness is limited to certain types of plants</w:t>
      </w:r>
      <w:r w:rsidR="004B0A2F">
        <w:rPr>
          <w:rFonts w:cs="Arial"/>
        </w:rPr>
        <w:t xml:space="preserve">, typically </w:t>
      </w:r>
      <w:r w:rsidRPr="43AD390E">
        <w:rPr>
          <w:rFonts w:cs="Arial"/>
        </w:rPr>
        <w:t xml:space="preserve">plants that are 300 megawatts or less and burn low-sulfur coal. </w:t>
      </w:r>
    </w:p>
    <w:p w14:paraId="1CC478F1" w14:textId="77777777" w:rsidR="000D33E9" w:rsidRPr="00DB7156" w:rsidRDefault="000D33E9" w:rsidP="00C942DB">
      <w:pPr>
        <w:tabs>
          <w:tab w:val="left" w:pos="720"/>
        </w:tabs>
        <w:spacing w:before="120" w:after="0" w:line="240" w:lineRule="auto"/>
        <w:rPr>
          <w:rFonts w:cs="Arial"/>
          <w:b/>
          <w:color w:val="000080"/>
          <w:szCs w:val="24"/>
        </w:rPr>
      </w:pPr>
      <w:r w:rsidRPr="00DB7156">
        <w:rPr>
          <w:rFonts w:cs="Arial"/>
          <w:b/>
          <w:color w:val="000080"/>
          <w:szCs w:val="24"/>
        </w:rPr>
        <w:t>VIII.</w:t>
      </w:r>
      <w:r w:rsidRPr="00DB7156">
        <w:rPr>
          <w:rFonts w:cs="Arial"/>
          <w:b/>
          <w:color w:val="000080"/>
          <w:szCs w:val="24"/>
        </w:rPr>
        <w:tab/>
      </w:r>
      <w:r w:rsidRPr="00DB7156">
        <w:rPr>
          <w:rFonts w:cs="Arial"/>
          <w:b/>
          <w:color w:val="000080"/>
          <w:szCs w:val="24"/>
          <w:u w:val="single"/>
        </w:rPr>
        <w:t>Baghouses</w:t>
      </w:r>
    </w:p>
    <w:p w14:paraId="76A97D82" w14:textId="072C28CA" w:rsidR="000D33E9" w:rsidRPr="00DB7156" w:rsidRDefault="000D33E9" w:rsidP="00C942DB">
      <w:pPr>
        <w:spacing w:before="120" w:after="0" w:line="240" w:lineRule="auto"/>
        <w:rPr>
          <w:rFonts w:cs="Arial"/>
          <w:szCs w:val="24"/>
        </w:rPr>
      </w:pPr>
      <w:r w:rsidRPr="00DB7156">
        <w:rPr>
          <w:rFonts w:cs="Arial"/>
          <w:szCs w:val="24"/>
        </w:rPr>
        <w:t xml:space="preserve">Baghouses are filter devices that remove solid particles from flue gas streams by passing the gases through a fabric, and thus collecting the particles. </w:t>
      </w:r>
      <w:r w:rsidR="00AF6A8C">
        <w:rPr>
          <w:rFonts w:cs="Arial"/>
          <w:szCs w:val="24"/>
        </w:rPr>
        <w:t>B</w:t>
      </w:r>
      <w:r w:rsidRPr="00DB7156">
        <w:rPr>
          <w:rFonts w:cs="Arial"/>
          <w:szCs w:val="24"/>
        </w:rPr>
        <w:t xml:space="preserve">aghouses can either operate as a standalone control device or in conjunction with other particulate capture devices. </w:t>
      </w:r>
      <w:r w:rsidR="009A251F">
        <w:rPr>
          <w:rFonts w:cs="Arial"/>
          <w:szCs w:val="24"/>
        </w:rPr>
        <w:t>A</w:t>
      </w:r>
      <w:r w:rsidRPr="00DB7156">
        <w:rPr>
          <w:rFonts w:cs="Arial"/>
          <w:szCs w:val="24"/>
        </w:rPr>
        <w:t xml:space="preserve"> baghouse located downstream of an existing ESP was patented by EPRI and is known as a Compact Hybrid Particulate Collector (</w:t>
      </w:r>
      <w:r>
        <w:rPr>
          <w:rFonts w:cs="Arial"/>
          <w:szCs w:val="24"/>
        </w:rPr>
        <w:t>“</w:t>
      </w:r>
      <w:r w:rsidRPr="00DB7156">
        <w:rPr>
          <w:rFonts w:cs="Arial"/>
          <w:szCs w:val="24"/>
        </w:rPr>
        <w:t>COHPAC</w:t>
      </w:r>
      <w:r>
        <w:rPr>
          <w:rFonts w:cs="Arial"/>
          <w:szCs w:val="24"/>
        </w:rPr>
        <w:t>”</w:t>
      </w:r>
      <w:r w:rsidRPr="00DB7156">
        <w:rPr>
          <w:rFonts w:cs="Arial"/>
          <w:szCs w:val="24"/>
        </w:rPr>
        <w:t>).</w:t>
      </w:r>
      <w:r w:rsidR="00CF5102">
        <w:rPr>
          <w:rFonts w:cs="Arial"/>
          <w:szCs w:val="24"/>
        </w:rPr>
        <w:t xml:space="preserve"> </w:t>
      </w:r>
      <w:r w:rsidRPr="00DB7156">
        <w:rPr>
          <w:rFonts w:cs="Arial"/>
          <w:szCs w:val="24"/>
        </w:rPr>
        <w:t>The basic COHPAC concept is to place a pulse-jet fabric filter (</w:t>
      </w:r>
      <w:r>
        <w:rPr>
          <w:rFonts w:cs="Arial"/>
          <w:szCs w:val="24"/>
        </w:rPr>
        <w:t>“</w:t>
      </w:r>
      <w:r w:rsidRPr="00DB7156">
        <w:rPr>
          <w:rFonts w:cs="Arial"/>
          <w:szCs w:val="24"/>
        </w:rPr>
        <w:t>PJFF</w:t>
      </w:r>
      <w:r>
        <w:rPr>
          <w:rFonts w:cs="Arial"/>
          <w:szCs w:val="24"/>
        </w:rPr>
        <w:t>”</w:t>
      </w:r>
      <w:r w:rsidRPr="00DB7156">
        <w:rPr>
          <w:rFonts w:cs="Arial"/>
          <w:szCs w:val="24"/>
        </w:rPr>
        <w:t xml:space="preserve">) downstream of an existing ESP to serve as a “polishing” or performance-upgrading unit. Since the ESP removes a significant amount of the particles from the gas stream the flue gas reaching the baghouse has a significantly reduced dust load. </w:t>
      </w:r>
      <w:r w:rsidR="004702BA">
        <w:rPr>
          <w:rFonts w:cs="Arial"/>
          <w:szCs w:val="24"/>
        </w:rPr>
        <w:t>As a result, t</w:t>
      </w:r>
      <w:r w:rsidRPr="00DB7156">
        <w:rPr>
          <w:rFonts w:cs="Arial"/>
          <w:szCs w:val="24"/>
        </w:rPr>
        <w:t xml:space="preserve">he physical size of a COHPAC PJFF </w:t>
      </w:r>
      <w:r w:rsidR="004702BA">
        <w:rPr>
          <w:rFonts w:cs="Arial"/>
          <w:szCs w:val="24"/>
        </w:rPr>
        <w:t xml:space="preserve">can be </w:t>
      </w:r>
      <w:r w:rsidRPr="00DB7156">
        <w:rPr>
          <w:rFonts w:cs="Arial"/>
          <w:szCs w:val="24"/>
        </w:rPr>
        <w:t>one-fourth the size of a normal PJFF, which</w:t>
      </w:r>
      <w:r w:rsidR="003A4316">
        <w:rPr>
          <w:rFonts w:cs="Arial"/>
          <w:szCs w:val="24"/>
        </w:rPr>
        <w:t xml:space="preserve"> may</w:t>
      </w:r>
      <w:r w:rsidRPr="00DB7156">
        <w:rPr>
          <w:rFonts w:cs="Arial"/>
          <w:szCs w:val="24"/>
        </w:rPr>
        <w:t xml:space="preserve"> reduce the </w:t>
      </w:r>
      <w:r w:rsidR="004702BA">
        <w:rPr>
          <w:rFonts w:cs="Arial"/>
          <w:szCs w:val="24"/>
        </w:rPr>
        <w:t xml:space="preserve">relative </w:t>
      </w:r>
      <w:r w:rsidRPr="00DB7156">
        <w:rPr>
          <w:rFonts w:cs="Arial"/>
          <w:szCs w:val="24"/>
        </w:rPr>
        <w:t>cost significantly.</w:t>
      </w:r>
    </w:p>
    <w:p w14:paraId="56AACBBD" w14:textId="77777777" w:rsidR="000D33E9" w:rsidRPr="00DB7156" w:rsidRDefault="000D33E9" w:rsidP="00C942DB">
      <w:pPr>
        <w:spacing w:before="120" w:after="0" w:line="240" w:lineRule="auto"/>
        <w:rPr>
          <w:rFonts w:cs="Arial"/>
          <w:b/>
          <w:color w:val="000080"/>
          <w:szCs w:val="24"/>
        </w:rPr>
      </w:pPr>
      <w:r w:rsidRPr="00DB7156">
        <w:rPr>
          <w:rFonts w:cs="Arial"/>
          <w:b/>
          <w:color w:val="000080"/>
          <w:szCs w:val="24"/>
        </w:rPr>
        <w:t>IX.</w:t>
      </w:r>
      <w:r>
        <w:tab/>
      </w:r>
      <w:r w:rsidRPr="00DB7156">
        <w:rPr>
          <w:rFonts w:cs="Arial"/>
          <w:b/>
          <w:color w:val="000080"/>
          <w:szCs w:val="24"/>
          <w:u w:val="single"/>
        </w:rPr>
        <w:t>Activated Carbon Injection</w:t>
      </w:r>
      <w:r>
        <w:rPr>
          <w:rFonts w:cs="Arial"/>
          <w:b/>
          <w:color w:val="000080"/>
          <w:szCs w:val="24"/>
          <w:u w:val="single"/>
        </w:rPr>
        <w:t xml:space="preserve"> (“ACI”)</w:t>
      </w:r>
      <w:r w:rsidRPr="00DB7156">
        <w:rPr>
          <w:rFonts w:cs="Arial"/>
          <w:b/>
          <w:color w:val="000080"/>
          <w:szCs w:val="24"/>
          <w:u w:val="single"/>
        </w:rPr>
        <w:t xml:space="preserve"> and Alkali Sorbent Injection</w:t>
      </w:r>
      <w:r>
        <w:rPr>
          <w:rFonts w:cs="Arial"/>
          <w:b/>
          <w:color w:val="000080"/>
          <w:szCs w:val="24"/>
          <w:u w:val="single"/>
        </w:rPr>
        <w:t xml:space="preserve"> (“ALK”)</w:t>
      </w:r>
    </w:p>
    <w:p w14:paraId="322A55EB" w14:textId="140EDB93" w:rsidR="000D33E9" w:rsidRPr="00DB7156" w:rsidRDefault="000D33E9" w:rsidP="00C942DB">
      <w:pPr>
        <w:spacing w:before="120" w:after="0" w:line="240" w:lineRule="auto"/>
        <w:rPr>
          <w:rFonts w:cs="Arial"/>
          <w:szCs w:val="24"/>
        </w:rPr>
      </w:pPr>
      <w:r w:rsidRPr="00DB7156">
        <w:rPr>
          <w:rFonts w:cs="Arial"/>
          <w:szCs w:val="24"/>
        </w:rPr>
        <w:t xml:space="preserve">ACI for </w:t>
      </w:r>
      <w:r>
        <w:rPr>
          <w:rFonts w:cs="Arial"/>
          <w:szCs w:val="24"/>
        </w:rPr>
        <w:t>mercury</w:t>
      </w:r>
      <w:r w:rsidRPr="00DB7156">
        <w:rPr>
          <w:rFonts w:cs="Arial"/>
          <w:szCs w:val="24"/>
        </w:rPr>
        <w:t xml:space="preserve"> control involves the addition of powdered activated carbon to flue gas streams where it adsorbs vapor phase mercury. Once injected into the flue gas, the activated carbon (and adsorbed </w:t>
      </w:r>
      <w:r w:rsidRPr="00DB7156">
        <w:rPr>
          <w:rFonts w:cs="Arial"/>
          <w:szCs w:val="24"/>
        </w:rPr>
        <w:lastRenderedPageBreak/>
        <w:t xml:space="preserve">mercury) must be collected in a particulate collection device. The applications of this technology </w:t>
      </w:r>
      <w:r w:rsidR="00061493">
        <w:rPr>
          <w:rFonts w:cs="Arial"/>
          <w:szCs w:val="24"/>
        </w:rPr>
        <w:t xml:space="preserve">include injection </w:t>
      </w:r>
      <w:r w:rsidRPr="00DB7156">
        <w:rPr>
          <w:rFonts w:cs="Arial"/>
          <w:szCs w:val="24"/>
        </w:rPr>
        <w:t>ahead of an ESP or downstream of an existing ESP but upstream of a high ratio (COHPAC) baghouse</w:t>
      </w:r>
      <w:r w:rsidR="005D6838">
        <w:rPr>
          <w:rFonts w:cs="Arial"/>
          <w:szCs w:val="24"/>
        </w:rPr>
        <w:t xml:space="preserve">, which is an EPRI patented technology known as </w:t>
      </w:r>
      <w:r w:rsidR="005D6838" w:rsidRPr="00DB7156">
        <w:rPr>
          <w:rFonts w:cs="Arial"/>
          <w:szCs w:val="24"/>
        </w:rPr>
        <w:t>TOXECON</w:t>
      </w:r>
      <w:r w:rsidR="005D6838" w:rsidRPr="00DB7156">
        <w:rPr>
          <w:rFonts w:cs="Arial"/>
          <w:szCs w:val="24"/>
          <w:vertAlign w:val="superscript"/>
        </w:rPr>
        <w:t>TM</w:t>
      </w:r>
      <w:r w:rsidRPr="00DB7156">
        <w:rPr>
          <w:rFonts w:cs="Arial"/>
          <w:szCs w:val="24"/>
        </w:rPr>
        <w:t xml:space="preserve">. </w:t>
      </w:r>
    </w:p>
    <w:p w14:paraId="09ACD34A" w14:textId="7F324D90" w:rsidR="000D33E9" w:rsidRPr="00DB7156" w:rsidRDefault="000D33E9" w:rsidP="00C942DB">
      <w:pPr>
        <w:spacing w:before="120" w:after="0" w:line="240" w:lineRule="auto"/>
        <w:rPr>
          <w:rFonts w:cs="Arial"/>
          <w:szCs w:val="24"/>
        </w:rPr>
      </w:pPr>
      <w:r w:rsidRPr="00DB7156">
        <w:rPr>
          <w:rFonts w:cs="Arial"/>
          <w:szCs w:val="24"/>
        </w:rPr>
        <w:t xml:space="preserve">Typically, due to rapid removal of the carbon in the ESP and limited contact time with the flue gas, these applications typically achieve lower removal of mercury than carbon into baghouses. In either application, the mercury removal effectiveness of </w:t>
      </w:r>
      <w:r>
        <w:rPr>
          <w:rFonts w:cs="Arial"/>
          <w:szCs w:val="24"/>
        </w:rPr>
        <w:t>ACI</w:t>
      </w:r>
      <w:r w:rsidRPr="00DB7156">
        <w:rPr>
          <w:rFonts w:cs="Arial"/>
          <w:szCs w:val="24"/>
        </w:rPr>
        <w:t xml:space="preserve"> can be enhanced when burning coals with higher sulfur content (e.g. non-PRB coals) by employing ALK, typically hydrated lime injection, ahead of the </w:t>
      </w:r>
      <w:r>
        <w:rPr>
          <w:rFonts w:cs="Arial"/>
          <w:szCs w:val="24"/>
        </w:rPr>
        <w:t>ACI</w:t>
      </w:r>
      <w:r w:rsidRPr="00DB7156">
        <w:rPr>
          <w:rFonts w:cs="Arial"/>
          <w:szCs w:val="24"/>
        </w:rPr>
        <w:t xml:space="preserve">.  Typically, the hydrated lime used for ALK is less expensive than the activated carbon, so the use of ACI plus ALK is a more economical process than ACI alone for a given mercury capture target. </w:t>
      </w:r>
    </w:p>
    <w:p w14:paraId="1847C731" w14:textId="77777777" w:rsidR="000D33E9" w:rsidRPr="00DB7156" w:rsidRDefault="000D33E9" w:rsidP="00C942DB">
      <w:pPr>
        <w:spacing w:before="120" w:after="0" w:line="240" w:lineRule="auto"/>
        <w:rPr>
          <w:rFonts w:cs="Arial"/>
          <w:b/>
          <w:color w:val="000080"/>
          <w:szCs w:val="24"/>
        </w:rPr>
      </w:pPr>
      <w:r w:rsidRPr="6A44F22A">
        <w:rPr>
          <w:rFonts w:cs="Arial"/>
          <w:b/>
          <w:bCs/>
          <w:color w:val="000080"/>
          <w:szCs w:val="24"/>
        </w:rPr>
        <w:t>X</w:t>
      </w:r>
      <w:r w:rsidRPr="00DB7156">
        <w:rPr>
          <w:rFonts w:cs="Arial"/>
          <w:b/>
          <w:color w:val="000080"/>
          <w:szCs w:val="24"/>
        </w:rPr>
        <w:t>.</w:t>
      </w:r>
      <w:r>
        <w:tab/>
      </w:r>
      <w:r w:rsidRPr="00DB7156">
        <w:rPr>
          <w:rFonts w:cs="Arial"/>
          <w:b/>
          <w:color w:val="000080"/>
          <w:szCs w:val="24"/>
          <w:u w:val="single"/>
        </w:rPr>
        <w:t>Mercury Re-emission Controls System (</w:t>
      </w:r>
      <w:r>
        <w:rPr>
          <w:rFonts w:cs="Arial"/>
          <w:b/>
          <w:color w:val="000080"/>
          <w:szCs w:val="24"/>
          <w:u w:val="single"/>
        </w:rPr>
        <w:t>“</w:t>
      </w:r>
      <w:r w:rsidRPr="00DB7156">
        <w:rPr>
          <w:rFonts w:cs="Arial"/>
          <w:b/>
          <w:color w:val="000080"/>
          <w:szCs w:val="24"/>
          <w:u w:val="single"/>
        </w:rPr>
        <w:t>MRCS</w:t>
      </w:r>
      <w:r>
        <w:rPr>
          <w:rFonts w:cs="Arial"/>
          <w:b/>
          <w:color w:val="000080"/>
          <w:szCs w:val="24"/>
          <w:u w:val="single"/>
        </w:rPr>
        <w:t>”</w:t>
      </w:r>
      <w:r w:rsidRPr="00DB7156">
        <w:rPr>
          <w:rFonts w:cs="Arial"/>
          <w:b/>
          <w:color w:val="000080"/>
          <w:szCs w:val="24"/>
          <w:u w:val="single"/>
        </w:rPr>
        <w:t>)</w:t>
      </w:r>
    </w:p>
    <w:p w14:paraId="73A383D0" w14:textId="4C31AB8A" w:rsidR="000D33E9" w:rsidRPr="00DB7156" w:rsidRDefault="000D33E9" w:rsidP="00C942DB">
      <w:pPr>
        <w:tabs>
          <w:tab w:val="left" w:pos="540"/>
        </w:tabs>
        <w:spacing w:before="120" w:after="0" w:line="240" w:lineRule="auto"/>
        <w:rPr>
          <w:rFonts w:cs="Arial"/>
          <w:b/>
          <w:bCs/>
          <w:color w:val="000080"/>
          <w:szCs w:val="24"/>
        </w:rPr>
      </w:pPr>
      <w:r w:rsidRPr="00DB7156">
        <w:rPr>
          <w:rFonts w:cs="Arial"/>
          <w:szCs w:val="24"/>
        </w:rPr>
        <w:t xml:space="preserve">Wet </w:t>
      </w:r>
      <w:r w:rsidR="001922CE">
        <w:rPr>
          <w:rFonts w:cs="Arial"/>
          <w:szCs w:val="24"/>
        </w:rPr>
        <w:t>scrubbers</w:t>
      </w:r>
      <w:r w:rsidRPr="00DB7156">
        <w:rPr>
          <w:rFonts w:cs="Arial"/>
          <w:szCs w:val="24"/>
        </w:rPr>
        <w:t xml:space="preserve"> are effective at removing oxidized mercury. However, as the captured mercury may remain in a dissolved form in the </w:t>
      </w:r>
      <w:r w:rsidR="001922CE">
        <w:rPr>
          <w:rFonts w:cs="Arial"/>
          <w:szCs w:val="24"/>
        </w:rPr>
        <w:t>scrubber</w:t>
      </w:r>
      <w:r w:rsidRPr="00DB7156">
        <w:rPr>
          <w:rFonts w:cs="Arial"/>
          <w:szCs w:val="24"/>
        </w:rPr>
        <w:t xml:space="preserve"> slurry in the vessel, the </w:t>
      </w:r>
      <w:r w:rsidR="001922CE">
        <w:rPr>
          <w:rFonts w:cs="Arial"/>
          <w:szCs w:val="24"/>
        </w:rPr>
        <w:t>scrubber</w:t>
      </w:r>
      <w:r w:rsidRPr="00DB7156">
        <w:rPr>
          <w:rFonts w:cs="Arial"/>
          <w:szCs w:val="24"/>
        </w:rPr>
        <w:t xml:space="preserve"> may from time to time re-emit the mercury that was captured from the flue gas</w:t>
      </w:r>
      <w:r w:rsidR="001922CE">
        <w:rPr>
          <w:rFonts w:cs="Arial"/>
          <w:szCs w:val="24"/>
        </w:rPr>
        <w:t xml:space="preserve">, causing </w:t>
      </w:r>
      <w:r w:rsidRPr="00DB7156">
        <w:rPr>
          <w:rFonts w:cs="Arial"/>
          <w:szCs w:val="24"/>
        </w:rPr>
        <w:t>increased levels of mercury emissions out of the stack. The addition of additives</w:t>
      </w:r>
      <w:r w:rsidR="001922CE">
        <w:rPr>
          <w:rFonts w:cs="Arial"/>
          <w:szCs w:val="24"/>
        </w:rPr>
        <w:t xml:space="preserve">, such as </w:t>
      </w:r>
      <w:r w:rsidR="00D8222D">
        <w:rPr>
          <w:rFonts w:cs="Arial"/>
          <w:szCs w:val="24"/>
        </w:rPr>
        <w:t>activated carbon,</w:t>
      </w:r>
      <w:r w:rsidRPr="00DB7156">
        <w:rPr>
          <w:rFonts w:cs="Arial"/>
          <w:szCs w:val="24"/>
        </w:rPr>
        <w:t xml:space="preserve"> into the </w:t>
      </w:r>
      <w:r w:rsidR="001922CE">
        <w:rPr>
          <w:rFonts w:cs="Arial"/>
          <w:szCs w:val="24"/>
        </w:rPr>
        <w:t>scrubber</w:t>
      </w:r>
      <w:r w:rsidRPr="00DB7156">
        <w:rPr>
          <w:rFonts w:cs="Arial"/>
          <w:szCs w:val="24"/>
        </w:rPr>
        <w:t xml:space="preserve"> slurry can help prevent the occurrence of mercury re-emission by encouraging the </w:t>
      </w:r>
      <w:r w:rsidR="00777CFB">
        <w:rPr>
          <w:rFonts w:cs="Arial"/>
          <w:szCs w:val="24"/>
        </w:rPr>
        <w:t xml:space="preserve">precipitation of the </w:t>
      </w:r>
      <w:r w:rsidRPr="00DB7156">
        <w:rPr>
          <w:rFonts w:cs="Arial"/>
          <w:szCs w:val="24"/>
        </w:rPr>
        <w:t>mercury dissolved in the slurry</w:t>
      </w:r>
      <w:r w:rsidR="00777CFB">
        <w:rPr>
          <w:rFonts w:cs="Arial"/>
          <w:szCs w:val="24"/>
        </w:rPr>
        <w:t>.</w:t>
      </w:r>
      <w:r w:rsidRPr="00DB7156">
        <w:rPr>
          <w:rFonts w:cs="Arial"/>
          <w:szCs w:val="24"/>
        </w:rPr>
        <w:t xml:space="preserve"> </w:t>
      </w:r>
    </w:p>
    <w:p w14:paraId="48A24BAC" w14:textId="77777777" w:rsidR="000D33E9" w:rsidRPr="00DB7156" w:rsidRDefault="000D33E9" w:rsidP="00C942DB">
      <w:pPr>
        <w:tabs>
          <w:tab w:val="left" w:pos="720"/>
        </w:tabs>
        <w:spacing w:before="120" w:after="0" w:line="240" w:lineRule="auto"/>
        <w:rPr>
          <w:rFonts w:cs="Arial"/>
          <w:b/>
          <w:color w:val="CC0000"/>
          <w:szCs w:val="24"/>
          <w:u w:val="single"/>
        </w:rPr>
      </w:pPr>
      <w:bookmarkStart w:id="89" w:name="_Hlk534293831"/>
      <w:r w:rsidRPr="6A44F22A">
        <w:rPr>
          <w:rFonts w:cs="Arial"/>
          <w:b/>
          <w:bCs/>
          <w:color w:val="000080"/>
          <w:szCs w:val="24"/>
        </w:rPr>
        <w:t>XI</w:t>
      </w:r>
      <w:r w:rsidRPr="00DB7156">
        <w:rPr>
          <w:rFonts w:cs="Arial"/>
          <w:b/>
          <w:bCs/>
          <w:color w:val="000080"/>
          <w:szCs w:val="24"/>
        </w:rPr>
        <w:t>.</w:t>
      </w:r>
      <w:r>
        <w:tab/>
      </w:r>
      <w:r w:rsidRPr="00DB7156">
        <w:rPr>
          <w:rFonts w:cs="Arial"/>
          <w:b/>
          <w:color w:val="000080"/>
          <w:szCs w:val="24"/>
          <w:u w:val="single"/>
        </w:rPr>
        <w:t>Containment and Control Technologies for Ash Storage Areas</w:t>
      </w:r>
    </w:p>
    <w:p w14:paraId="01096C33" w14:textId="77777777" w:rsidR="000D33E9" w:rsidRPr="00DB7156" w:rsidRDefault="000D33E9" w:rsidP="00C942DB">
      <w:pPr>
        <w:spacing w:before="120" w:after="0" w:line="240" w:lineRule="auto"/>
        <w:rPr>
          <w:rFonts w:cs="Arial"/>
          <w:szCs w:val="24"/>
        </w:rPr>
      </w:pPr>
      <w:r w:rsidRPr="00DB7156">
        <w:rPr>
          <w:rFonts w:cs="Arial"/>
          <w:szCs w:val="24"/>
        </w:rPr>
        <w:t xml:space="preserve">Several technologies are available to control and close ash storage areas. The most common technologies include liners, caps, slurry walls, sheet pile walls, grouting, and </w:t>
      </w:r>
      <w:r w:rsidRPr="00DB7156">
        <w:rPr>
          <w:rFonts w:cs="Arial"/>
          <w:i/>
          <w:iCs/>
          <w:szCs w:val="24"/>
        </w:rPr>
        <w:t>in situ</w:t>
      </w:r>
      <w:r w:rsidRPr="00DB7156">
        <w:rPr>
          <w:rFonts w:cs="Arial"/>
          <w:szCs w:val="24"/>
        </w:rPr>
        <w:t xml:space="preserve"> solidification and stabilization. A brief description of each technology is provided below.</w:t>
      </w:r>
    </w:p>
    <w:p w14:paraId="504694AA" w14:textId="77777777" w:rsidR="000D33E9" w:rsidRDefault="000D33E9" w:rsidP="00C942DB">
      <w:pPr>
        <w:spacing w:before="120" w:after="0" w:line="240" w:lineRule="auto"/>
        <w:rPr>
          <w:rFonts w:cs="Arial"/>
          <w:b/>
          <w:szCs w:val="24"/>
          <w:u w:val="single"/>
        </w:rPr>
      </w:pPr>
      <w:r>
        <w:rPr>
          <w:rFonts w:cs="Arial"/>
          <w:b/>
          <w:szCs w:val="24"/>
          <w:u w:val="single"/>
        </w:rPr>
        <w:t>Closure Footprint Reduction</w:t>
      </w:r>
    </w:p>
    <w:p w14:paraId="3EC21DE4" w14:textId="77777777" w:rsidR="000D33E9" w:rsidRPr="00B87D57" w:rsidRDefault="000D33E9" w:rsidP="00C942DB">
      <w:pPr>
        <w:spacing w:before="120" w:after="0" w:line="240" w:lineRule="auto"/>
        <w:rPr>
          <w:rFonts w:cs="Arial"/>
          <w:szCs w:val="24"/>
        </w:rPr>
      </w:pPr>
      <w:r>
        <w:rPr>
          <w:rFonts w:cs="Arial"/>
          <w:szCs w:val="24"/>
        </w:rPr>
        <w:t xml:space="preserve">Ash ponds closed in place may involve consolidating ash into a smaller footprint. This will likely reduce the extent of groundwater impacts and the area requiring long term O&amp;M associated with maintaining the closed facility. </w:t>
      </w:r>
    </w:p>
    <w:p w14:paraId="2EE6C7D2" w14:textId="77777777" w:rsidR="000D33E9" w:rsidRPr="00DB7156" w:rsidRDefault="000D33E9" w:rsidP="00C942DB">
      <w:pPr>
        <w:spacing w:before="120" w:after="0" w:line="240" w:lineRule="auto"/>
        <w:rPr>
          <w:rFonts w:cs="Arial"/>
          <w:b/>
          <w:szCs w:val="24"/>
          <w:u w:val="single"/>
        </w:rPr>
      </w:pPr>
      <w:r w:rsidRPr="00DB7156">
        <w:rPr>
          <w:rFonts w:cs="Arial"/>
          <w:b/>
          <w:szCs w:val="24"/>
          <w:u w:val="single"/>
        </w:rPr>
        <w:t>Liners</w:t>
      </w:r>
    </w:p>
    <w:p w14:paraId="668C8A9E" w14:textId="77777777" w:rsidR="000D33E9" w:rsidRPr="00DB7156" w:rsidRDefault="000D33E9" w:rsidP="00C942DB">
      <w:pPr>
        <w:spacing w:before="120" w:after="0" w:line="240" w:lineRule="auto"/>
        <w:rPr>
          <w:rFonts w:cs="Arial"/>
          <w:b/>
          <w:szCs w:val="24"/>
          <w:u w:val="single"/>
        </w:rPr>
      </w:pPr>
      <w:r w:rsidRPr="00DB7156">
        <w:rPr>
          <w:rFonts w:cs="Arial"/>
          <w:szCs w:val="24"/>
        </w:rPr>
        <w:t>A liner is a layer of impermeable or low-permeability material placed at the bottom of ash storage facilities, which prevents ash leachate from entering soil and groundwater. Liners can be constructed of compacted natural material (such as clay), synthetic m</w:t>
      </w:r>
      <w:r>
        <w:rPr>
          <w:rFonts w:cs="Arial"/>
          <w:szCs w:val="24"/>
        </w:rPr>
        <w:t>aterials (such as High-Density Polyethylene</w:t>
      </w:r>
      <w:r w:rsidRPr="00DB7156">
        <w:rPr>
          <w:rFonts w:cs="Arial"/>
          <w:szCs w:val="24"/>
        </w:rPr>
        <w:t xml:space="preserve"> </w:t>
      </w:r>
      <w:r>
        <w:rPr>
          <w:rFonts w:cs="Arial"/>
          <w:szCs w:val="24"/>
        </w:rPr>
        <w:t>(“</w:t>
      </w:r>
      <w:r w:rsidRPr="00DB7156">
        <w:rPr>
          <w:rFonts w:cs="Arial"/>
          <w:szCs w:val="24"/>
        </w:rPr>
        <w:t>HDPE</w:t>
      </w:r>
      <w:r>
        <w:rPr>
          <w:rFonts w:cs="Arial"/>
          <w:szCs w:val="24"/>
        </w:rPr>
        <w:t>”</w:t>
      </w:r>
      <w:r w:rsidRPr="00DB7156">
        <w:rPr>
          <w:rFonts w:cs="Arial"/>
          <w:szCs w:val="24"/>
        </w:rPr>
        <w:t>)</w:t>
      </w:r>
      <w:r>
        <w:rPr>
          <w:rFonts w:cs="Arial"/>
          <w:szCs w:val="24"/>
        </w:rPr>
        <w:t>)</w:t>
      </w:r>
      <w:r w:rsidRPr="00DB7156">
        <w:rPr>
          <w:rFonts w:cs="Arial"/>
          <w:szCs w:val="24"/>
        </w:rPr>
        <w:t>, or composite materials (combination of synthetic and natural materials). Regulations</w:t>
      </w:r>
      <w:r w:rsidRPr="00DB7156" w:rsidDel="000A5E7E">
        <w:rPr>
          <w:rFonts w:cs="Arial"/>
          <w:szCs w:val="24"/>
        </w:rPr>
        <w:t xml:space="preserve"> </w:t>
      </w:r>
      <w:r w:rsidRPr="00DB7156">
        <w:rPr>
          <w:rFonts w:cs="Arial"/>
          <w:szCs w:val="24"/>
        </w:rPr>
        <w:t>require liners under new ash storage areas.</w:t>
      </w:r>
    </w:p>
    <w:p w14:paraId="24EC1DCB" w14:textId="77777777" w:rsidR="000D33E9" w:rsidRPr="00DB7156" w:rsidRDefault="000D33E9" w:rsidP="00C942DB">
      <w:pPr>
        <w:spacing w:before="120" w:after="0" w:line="240" w:lineRule="auto"/>
        <w:rPr>
          <w:rFonts w:cs="Arial"/>
          <w:b/>
          <w:szCs w:val="24"/>
          <w:u w:val="single"/>
        </w:rPr>
      </w:pPr>
      <w:r w:rsidRPr="00DB7156">
        <w:rPr>
          <w:rFonts w:cs="Arial"/>
          <w:b/>
          <w:szCs w:val="24"/>
          <w:u w:val="single"/>
        </w:rPr>
        <w:t>Caps</w:t>
      </w:r>
    </w:p>
    <w:p w14:paraId="113FB32A" w14:textId="77777777" w:rsidR="000D33E9" w:rsidRPr="00DB7156" w:rsidRDefault="000D33E9" w:rsidP="00C942DB">
      <w:pPr>
        <w:spacing w:before="120" w:after="0" w:line="240" w:lineRule="auto"/>
        <w:rPr>
          <w:rFonts w:cs="Arial"/>
        </w:rPr>
      </w:pPr>
      <w:r w:rsidRPr="3671CFEC">
        <w:rPr>
          <w:rFonts w:cs="Arial"/>
        </w:rPr>
        <w:t>A cap is a layer of impermeable or low-permeability material placed on top of ash storage areas, to prevent</w:t>
      </w:r>
      <w:r w:rsidRPr="3671CFEC">
        <w:rPr>
          <w:rFonts w:cs="Arial"/>
          <w:b/>
        </w:rPr>
        <w:t xml:space="preserve"> </w:t>
      </w:r>
      <w:r w:rsidRPr="3671CFEC">
        <w:rPr>
          <w:rFonts w:cs="Arial"/>
        </w:rPr>
        <w:t xml:space="preserve">surface water infiltration and resulting leachate. As with liners, caps can be constructed of natural materials (for example, compacted clay), synthetic materials (HDPE), or composite materials. Capping may be used in conjunction with liners, slurry walls, or other </w:t>
      </w:r>
      <w:r>
        <w:rPr>
          <w:rFonts w:cs="Arial"/>
        </w:rPr>
        <w:t>proven</w:t>
      </w:r>
      <w:r w:rsidRPr="3671CFEC">
        <w:rPr>
          <w:rFonts w:cs="Arial"/>
        </w:rPr>
        <w:t xml:space="preserve"> engineering methods to effectively encapsulate a material in place.</w:t>
      </w:r>
    </w:p>
    <w:p w14:paraId="63B11AAA" w14:textId="77777777" w:rsidR="000D33E9" w:rsidRPr="00DB7156" w:rsidRDefault="000D33E9" w:rsidP="00C942DB">
      <w:pPr>
        <w:keepNext/>
        <w:keepLines/>
        <w:spacing w:before="120" w:after="0" w:line="240" w:lineRule="auto"/>
        <w:rPr>
          <w:rFonts w:cs="Arial"/>
          <w:b/>
          <w:szCs w:val="24"/>
          <w:u w:val="single"/>
        </w:rPr>
      </w:pPr>
      <w:r w:rsidRPr="00DB7156">
        <w:rPr>
          <w:rFonts w:cs="Arial"/>
          <w:b/>
          <w:szCs w:val="24"/>
          <w:u w:val="single"/>
        </w:rPr>
        <w:t>Slurry Walls</w:t>
      </w:r>
    </w:p>
    <w:p w14:paraId="1C58CA52" w14:textId="77777777" w:rsidR="000D33E9" w:rsidRPr="00DB7156" w:rsidRDefault="000D33E9" w:rsidP="00C942DB">
      <w:pPr>
        <w:keepNext/>
        <w:keepLines/>
        <w:spacing w:before="120" w:after="0" w:line="240" w:lineRule="auto"/>
        <w:rPr>
          <w:rFonts w:cs="Arial"/>
          <w:szCs w:val="24"/>
        </w:rPr>
      </w:pPr>
      <w:r w:rsidRPr="00DB7156">
        <w:rPr>
          <w:rFonts w:cs="Arial"/>
          <w:szCs w:val="24"/>
        </w:rPr>
        <w:t>Slurry walls are subsurface walls constructed in trenches</w:t>
      </w:r>
      <w:r>
        <w:rPr>
          <w:rFonts w:cs="Arial"/>
          <w:szCs w:val="24"/>
        </w:rPr>
        <w:t xml:space="preserve"> </w:t>
      </w:r>
      <w:r w:rsidRPr="003A2A49">
        <w:rPr>
          <w:rFonts w:cs="Arial"/>
          <w:szCs w:val="24"/>
        </w:rPr>
        <w:t>that are designed and installed to a pre-determined depth based on site conditions and project objective</w:t>
      </w:r>
      <w:r>
        <w:rPr>
          <w:rFonts w:cs="Arial"/>
          <w:szCs w:val="24"/>
        </w:rPr>
        <w:t>s</w:t>
      </w:r>
      <w:r w:rsidRPr="00DB7156">
        <w:rPr>
          <w:rFonts w:cs="Arial"/>
          <w:szCs w:val="24"/>
        </w:rPr>
        <w:t>. The trench is filled with a slurry of materials that forms an impermeable barrier to prevent/minimize the migration of groundwater within the area. Slurry materials can include various mixtures of soil, bentonite clay, and/or cement.</w:t>
      </w:r>
    </w:p>
    <w:p w14:paraId="2DC2CFE8" w14:textId="77777777" w:rsidR="00146C1A" w:rsidRDefault="00146C1A" w:rsidP="00C942DB">
      <w:pPr>
        <w:spacing w:before="120" w:after="0" w:line="240" w:lineRule="auto"/>
        <w:rPr>
          <w:rFonts w:cs="Arial"/>
          <w:b/>
          <w:szCs w:val="24"/>
          <w:u w:val="single"/>
        </w:rPr>
      </w:pPr>
    </w:p>
    <w:p w14:paraId="2EE4B61E" w14:textId="1426C0E5" w:rsidR="000D33E9" w:rsidRPr="00DB7156" w:rsidRDefault="000D33E9" w:rsidP="00C942DB">
      <w:pPr>
        <w:spacing w:before="120" w:after="0" w:line="240" w:lineRule="auto"/>
        <w:rPr>
          <w:rFonts w:cs="Arial"/>
          <w:b/>
          <w:szCs w:val="24"/>
          <w:u w:val="single"/>
        </w:rPr>
      </w:pPr>
      <w:r w:rsidRPr="00DB7156">
        <w:rPr>
          <w:rFonts w:cs="Arial"/>
          <w:b/>
          <w:szCs w:val="24"/>
          <w:u w:val="single"/>
        </w:rPr>
        <w:lastRenderedPageBreak/>
        <w:t>Sheet Pile Walls</w:t>
      </w:r>
    </w:p>
    <w:p w14:paraId="172B5C5E" w14:textId="77777777" w:rsidR="000D33E9" w:rsidRPr="00DB7156" w:rsidRDefault="000D33E9" w:rsidP="00C942DB">
      <w:pPr>
        <w:spacing w:before="120" w:after="0" w:line="240" w:lineRule="auto"/>
        <w:rPr>
          <w:rFonts w:cs="Arial"/>
          <w:szCs w:val="24"/>
        </w:rPr>
      </w:pPr>
      <w:r w:rsidRPr="00DB7156">
        <w:rPr>
          <w:rFonts w:cs="Arial"/>
          <w:szCs w:val="24"/>
        </w:rPr>
        <w:t xml:space="preserve">Sheet piling includes interlocking wood, concrete, or steel sectors driven into the ground or forced into pre-dug trenches, usually to the top of a relatively impermeable layer (for example, clay or bedrock). As with slurry walls, sheet pile walls form an impermeable barrier to prevent/minimize the migration of groundwater. Steel sheet pilings are the most reliable and </w:t>
      </w:r>
      <w:proofErr w:type="gramStart"/>
      <w:r w:rsidRPr="00DB7156">
        <w:rPr>
          <w:rFonts w:cs="Arial"/>
          <w:szCs w:val="24"/>
        </w:rPr>
        <w:t>most commonly used</w:t>
      </w:r>
      <w:proofErr w:type="gramEnd"/>
      <w:r w:rsidRPr="00DB7156">
        <w:rPr>
          <w:rFonts w:cs="Arial"/>
          <w:szCs w:val="24"/>
        </w:rPr>
        <w:t>. Sheet piling is often used as a temporary measure of containment while dewatering or excavation, or while other containment is constructed.</w:t>
      </w:r>
    </w:p>
    <w:p w14:paraId="44CFB6C1" w14:textId="77777777" w:rsidR="000D33E9" w:rsidRPr="00DB7156" w:rsidRDefault="000D33E9" w:rsidP="00C942DB">
      <w:pPr>
        <w:keepNext/>
        <w:spacing w:before="120" w:after="0" w:line="240" w:lineRule="auto"/>
        <w:rPr>
          <w:rFonts w:cs="Arial"/>
          <w:b/>
          <w:szCs w:val="24"/>
          <w:u w:val="single"/>
        </w:rPr>
      </w:pPr>
      <w:r w:rsidRPr="00DB7156">
        <w:rPr>
          <w:rFonts w:cs="Arial"/>
          <w:b/>
          <w:szCs w:val="24"/>
          <w:u w:val="single"/>
        </w:rPr>
        <w:t>Grout Curtains</w:t>
      </w:r>
    </w:p>
    <w:p w14:paraId="6FA2EDFD" w14:textId="77777777" w:rsidR="000D33E9" w:rsidRPr="00DB7156" w:rsidRDefault="000D33E9" w:rsidP="00C942DB">
      <w:pPr>
        <w:keepNext/>
        <w:spacing w:before="120" w:after="0" w:line="240" w:lineRule="auto"/>
        <w:rPr>
          <w:rFonts w:cs="Arial"/>
        </w:rPr>
      </w:pPr>
      <w:r w:rsidRPr="6BABA098">
        <w:rPr>
          <w:rFonts w:cs="Arial"/>
        </w:rPr>
        <w:t xml:space="preserve">A grout curtain is a method of sealing gaps in subsurface geology by injection of grout to fill voids in fractured rock, or to consolidate soil by filling the pore space. The grout material may be a Portland cement mix or any fluid material that hardens, such as a resin or sodium silicate. The grout material is injected as a pressurized fluid through holes drilled into the ground, generally in rows. Under ideal conditions, the injected fluids harden to create a relatively impermeable barrier, </w:t>
      </w:r>
      <w:proofErr w:type="gramStart"/>
      <w:r w:rsidRPr="6BABA098">
        <w:rPr>
          <w:rFonts w:cs="Arial"/>
        </w:rPr>
        <w:t>similar to</w:t>
      </w:r>
      <w:proofErr w:type="gramEnd"/>
      <w:r w:rsidRPr="6BABA098">
        <w:rPr>
          <w:rFonts w:cs="Arial"/>
        </w:rPr>
        <w:t xml:space="preserve"> a wall, in the subsurface.</w:t>
      </w:r>
    </w:p>
    <w:p w14:paraId="4EEC18CD" w14:textId="77777777" w:rsidR="000D33E9" w:rsidRPr="00DB7156" w:rsidRDefault="000D33E9" w:rsidP="00C942DB">
      <w:pPr>
        <w:spacing w:before="120" w:after="0" w:line="240" w:lineRule="auto"/>
        <w:rPr>
          <w:rFonts w:cs="Arial"/>
          <w:b/>
          <w:szCs w:val="24"/>
          <w:u w:val="single"/>
        </w:rPr>
      </w:pPr>
      <w:r w:rsidRPr="00DB7156">
        <w:rPr>
          <w:rFonts w:cs="Arial"/>
          <w:b/>
          <w:szCs w:val="24"/>
          <w:u w:val="single"/>
        </w:rPr>
        <w:t>In situ Solidification/Stabilization</w:t>
      </w:r>
    </w:p>
    <w:p w14:paraId="52804A89" w14:textId="77777777" w:rsidR="000D33E9" w:rsidRPr="00DB7156" w:rsidRDefault="000D33E9" w:rsidP="00C942DB">
      <w:pPr>
        <w:spacing w:before="120" w:after="0" w:line="240" w:lineRule="auto"/>
        <w:rPr>
          <w:rFonts w:cs="Arial"/>
          <w:snapToGrid w:val="0"/>
          <w:szCs w:val="24"/>
        </w:rPr>
      </w:pPr>
      <w:r w:rsidRPr="00DB7156">
        <w:rPr>
          <w:rFonts w:cs="Arial"/>
          <w:snapToGrid w:val="0"/>
          <w:szCs w:val="24"/>
        </w:rPr>
        <w:t xml:space="preserve">Solidification/stabilization describes the technique of solidifying soil or waste material (e.g., a sludge), to reduce the potential for groundwater interaction. Solidification refers to the addition of a binder to produce a solid. Stabilization refers to the addition of a chemical agent to convert the soil or waste material to a more chemically stable form.  Some additives, such as Portland cement, produce both physical and chemical changes.  Large augers or equipment with rotary blades are </w:t>
      </w:r>
      <w:r>
        <w:rPr>
          <w:rFonts w:cs="Arial"/>
          <w:snapToGrid w:val="0"/>
          <w:szCs w:val="24"/>
        </w:rPr>
        <w:t xml:space="preserve">typically </w:t>
      </w:r>
      <w:r w:rsidRPr="00DB7156">
        <w:rPr>
          <w:rFonts w:cs="Arial"/>
          <w:snapToGrid w:val="0"/>
          <w:szCs w:val="24"/>
        </w:rPr>
        <w:t xml:space="preserve">used to mix the additives with contaminated soil or waste material.  </w:t>
      </w:r>
    </w:p>
    <w:bookmarkEnd w:id="89"/>
    <w:p w14:paraId="1FEF335C" w14:textId="77777777" w:rsidR="000D33E9" w:rsidRPr="00DB7156" w:rsidRDefault="000D33E9" w:rsidP="00C942DB">
      <w:pPr>
        <w:keepNext/>
        <w:spacing w:before="120" w:after="0" w:line="240" w:lineRule="auto"/>
        <w:rPr>
          <w:rFonts w:cs="Arial"/>
          <w:b/>
          <w:color w:val="000080"/>
          <w:szCs w:val="24"/>
        </w:rPr>
      </w:pPr>
      <w:r w:rsidRPr="6A44F22A">
        <w:rPr>
          <w:rFonts w:cs="Arial"/>
          <w:b/>
          <w:bCs/>
          <w:color w:val="000080"/>
          <w:szCs w:val="24"/>
        </w:rPr>
        <w:t>XII</w:t>
      </w:r>
      <w:r w:rsidRPr="00DB7156">
        <w:rPr>
          <w:rFonts w:cs="Arial"/>
          <w:b/>
          <w:color w:val="000080"/>
          <w:szCs w:val="24"/>
        </w:rPr>
        <w:t>.</w:t>
      </w:r>
      <w:r>
        <w:tab/>
      </w:r>
      <w:r w:rsidRPr="00DB7156">
        <w:rPr>
          <w:rFonts w:cs="Arial"/>
          <w:b/>
          <w:color w:val="000080"/>
          <w:szCs w:val="24"/>
          <w:u w:val="single"/>
        </w:rPr>
        <w:t>Cooling Water Intake Screen Technology</w:t>
      </w:r>
    </w:p>
    <w:p w14:paraId="1ED9B01F" w14:textId="77777777" w:rsidR="000D33E9" w:rsidRPr="00DB7156" w:rsidRDefault="000D33E9" w:rsidP="00C942DB">
      <w:pPr>
        <w:tabs>
          <w:tab w:val="left" w:pos="540"/>
        </w:tabs>
        <w:spacing w:before="120" w:after="0" w:line="240" w:lineRule="auto"/>
        <w:rPr>
          <w:rFonts w:cs="Arial"/>
          <w:b/>
          <w:color w:val="CC0000"/>
          <w:szCs w:val="24"/>
        </w:rPr>
      </w:pPr>
      <w:r w:rsidRPr="00DB7156">
        <w:rPr>
          <w:rFonts w:cs="Arial"/>
          <w:szCs w:val="24"/>
        </w:rPr>
        <w:t>Inclined traveling water screens (</w:t>
      </w:r>
      <w:r>
        <w:rPr>
          <w:rFonts w:cs="Arial"/>
          <w:szCs w:val="24"/>
        </w:rPr>
        <w:t>“</w:t>
      </w:r>
      <w:r w:rsidRPr="00DB7156">
        <w:rPr>
          <w:rFonts w:cs="Arial"/>
          <w:szCs w:val="24"/>
        </w:rPr>
        <w:t>TWS</w:t>
      </w:r>
      <w:r>
        <w:rPr>
          <w:rFonts w:cs="Arial"/>
          <w:szCs w:val="24"/>
        </w:rPr>
        <w:t>”</w:t>
      </w:r>
      <w:r w:rsidRPr="00DB7156">
        <w:rPr>
          <w:rFonts w:cs="Arial"/>
          <w:szCs w:val="24"/>
        </w:rPr>
        <w:t>) and cylindrical wedge wire screens (</w:t>
      </w:r>
      <w:r>
        <w:rPr>
          <w:rFonts w:cs="Arial"/>
          <w:szCs w:val="24"/>
        </w:rPr>
        <w:t>“</w:t>
      </w:r>
      <w:r w:rsidRPr="00DB7156">
        <w:rPr>
          <w:rFonts w:cs="Arial"/>
          <w:szCs w:val="24"/>
        </w:rPr>
        <w:t>CWWS</w:t>
      </w:r>
      <w:r>
        <w:rPr>
          <w:rFonts w:cs="Arial"/>
          <w:szCs w:val="24"/>
        </w:rPr>
        <w:t>”</w:t>
      </w:r>
      <w:r w:rsidRPr="00DB7156">
        <w:rPr>
          <w:rFonts w:cs="Arial"/>
          <w:szCs w:val="24"/>
        </w:rPr>
        <w:t>) will generally be the preferred water screen technologies. Both screens will allow debris handling and the design is also adaptable to minimize impingement and entrainment.  Screen wash systems for the TWS and airburst systems for the CWWS can maintain screen cleanliness to an acceptable level. If needed, continuous fish and debris handling systems can also be designed to work with the TWS. As needed, fish-return technologies are also available.</w:t>
      </w:r>
    </w:p>
    <w:p w14:paraId="43898A86" w14:textId="77777777" w:rsidR="000D33E9" w:rsidRPr="00DB7156" w:rsidRDefault="000D33E9" w:rsidP="00C942DB">
      <w:pPr>
        <w:spacing w:before="120" w:after="0" w:line="240" w:lineRule="auto"/>
        <w:rPr>
          <w:rFonts w:cs="Arial"/>
          <w:b/>
          <w:color w:val="CC0000"/>
          <w:szCs w:val="24"/>
        </w:rPr>
      </w:pPr>
      <w:r w:rsidRPr="480A2D46">
        <w:rPr>
          <w:rFonts w:cs="Arial"/>
          <w:b/>
          <w:bCs/>
          <w:color w:val="000080"/>
          <w:szCs w:val="24"/>
        </w:rPr>
        <w:t>X</w:t>
      </w:r>
      <w:r>
        <w:rPr>
          <w:rFonts w:cs="Arial"/>
          <w:b/>
          <w:bCs/>
          <w:color w:val="000080"/>
          <w:szCs w:val="24"/>
        </w:rPr>
        <w:t>III</w:t>
      </w:r>
      <w:r w:rsidRPr="00DB7156">
        <w:rPr>
          <w:rFonts w:cs="Arial"/>
          <w:b/>
          <w:color w:val="000080"/>
          <w:szCs w:val="24"/>
        </w:rPr>
        <w:t>.</w:t>
      </w:r>
      <w:r>
        <w:tab/>
      </w:r>
      <w:r w:rsidRPr="00DB7156">
        <w:rPr>
          <w:rFonts w:cs="Arial"/>
          <w:b/>
          <w:color w:val="000080"/>
          <w:szCs w:val="24"/>
          <w:u w:val="single"/>
        </w:rPr>
        <w:t>Water Cooling Technologies</w:t>
      </w:r>
    </w:p>
    <w:p w14:paraId="5E53B221" w14:textId="77777777" w:rsidR="000D33E9" w:rsidRPr="00DB7156" w:rsidRDefault="000D33E9" w:rsidP="00C942DB">
      <w:pPr>
        <w:spacing w:before="120" w:after="0" w:line="240" w:lineRule="auto"/>
        <w:rPr>
          <w:rFonts w:cs="Arial"/>
          <w:szCs w:val="24"/>
        </w:rPr>
      </w:pPr>
      <w:r w:rsidRPr="00DB7156">
        <w:rPr>
          <w:rFonts w:cs="Arial"/>
          <w:szCs w:val="24"/>
        </w:rPr>
        <w:t xml:space="preserve">Cooling water systems are generally placed into two </w:t>
      </w:r>
      <w:r w:rsidRPr="6A44F22A">
        <w:rPr>
          <w:rFonts w:cs="Arial"/>
          <w:szCs w:val="24"/>
        </w:rPr>
        <w:t>categories</w:t>
      </w:r>
      <w:r w:rsidRPr="00DB7156">
        <w:rPr>
          <w:rFonts w:cs="Arial"/>
          <w:szCs w:val="24"/>
        </w:rPr>
        <w:t xml:space="preserve">: either wet systems, which use water as the cooling medium, or dry systems that </w:t>
      </w:r>
      <w:r w:rsidRPr="6A44F22A">
        <w:rPr>
          <w:rFonts w:cs="Arial"/>
          <w:szCs w:val="24"/>
        </w:rPr>
        <w:t>utilize</w:t>
      </w:r>
      <w:r w:rsidRPr="00DB7156">
        <w:rPr>
          <w:rFonts w:cs="Arial"/>
          <w:szCs w:val="24"/>
        </w:rPr>
        <w:t xml:space="preserve"> air.</w:t>
      </w:r>
      <w:r>
        <w:rPr>
          <w:rFonts w:cs="Arial"/>
          <w:szCs w:val="24"/>
        </w:rPr>
        <w:t xml:space="preserve"> </w:t>
      </w:r>
      <w:r w:rsidRPr="00DB7156">
        <w:rPr>
          <w:rFonts w:cs="Arial"/>
          <w:szCs w:val="24"/>
        </w:rPr>
        <w:t xml:space="preserve">Wet cooling systems withdraw water to absorb heat via indirect contact with steam in a condenser. These wet cooling systems are divided into two types, based on the </w:t>
      </w:r>
      <w:proofErr w:type="gramStart"/>
      <w:r w:rsidRPr="00DB7156">
        <w:rPr>
          <w:rFonts w:cs="Arial"/>
          <w:szCs w:val="24"/>
        </w:rPr>
        <w:t>manner in which</w:t>
      </w:r>
      <w:proofErr w:type="gramEnd"/>
      <w:r w:rsidRPr="00DB7156">
        <w:rPr>
          <w:rFonts w:cs="Arial"/>
          <w:szCs w:val="24"/>
        </w:rPr>
        <w:t xml:space="preserve"> the cooling water is used: once-through and closed-cycle systems with cooling towers or ponds. Unlike once-through systems that continuously draw fresh cold water from a large water source, closed cycle systems recirculate the same cooling water in a continuous loop through the condenser, with only very small amounts of water being withdrawn from a source to replace the water that is lost due to evaporation, drift, and blowdown in the cooling tower.  </w:t>
      </w:r>
    </w:p>
    <w:p w14:paraId="4BE5832A" w14:textId="77777777" w:rsidR="000D33E9" w:rsidRPr="00DB7156" w:rsidRDefault="000D33E9" w:rsidP="00C942DB">
      <w:pPr>
        <w:spacing w:before="120" w:after="0" w:line="240" w:lineRule="auto"/>
        <w:rPr>
          <w:rFonts w:cs="Arial"/>
          <w:szCs w:val="24"/>
        </w:rPr>
      </w:pPr>
      <w:r w:rsidRPr="00DB7156">
        <w:rPr>
          <w:rFonts w:cs="Arial"/>
          <w:szCs w:val="24"/>
        </w:rPr>
        <w:t xml:space="preserve">Because of the relative simplicity, the capital and operating costs for once-through systems are less than those for closed-cycle systems with a cooling tower. Once-through systems can also include helper cooling towers to reduce thermal load at the water discharge point, but these systems do not reduce water withdrawals. </w:t>
      </w:r>
      <w:r>
        <w:rPr>
          <w:rFonts w:cs="Arial"/>
          <w:szCs w:val="24"/>
        </w:rPr>
        <w:t>C</w:t>
      </w:r>
      <w:r w:rsidRPr="00DB7156">
        <w:rPr>
          <w:rFonts w:cs="Arial"/>
          <w:szCs w:val="24"/>
        </w:rPr>
        <w:t>losed-cycle cooling water system</w:t>
      </w:r>
      <w:r>
        <w:rPr>
          <w:rFonts w:cs="Arial"/>
          <w:szCs w:val="24"/>
        </w:rPr>
        <w:t>s</w:t>
      </w:r>
      <w:r w:rsidRPr="00DB7156">
        <w:rPr>
          <w:rFonts w:cs="Arial"/>
          <w:szCs w:val="24"/>
        </w:rPr>
        <w:t xml:space="preserve"> reduce water withdrawals about 95%. Because of this, </w:t>
      </w:r>
      <w:r>
        <w:rPr>
          <w:rFonts w:cs="Arial"/>
          <w:szCs w:val="24"/>
        </w:rPr>
        <w:t>use</w:t>
      </w:r>
      <w:r w:rsidRPr="00DB7156">
        <w:rPr>
          <w:rFonts w:cs="Arial"/>
          <w:szCs w:val="24"/>
        </w:rPr>
        <w:t xml:space="preserve"> of a closed-cycle system with a cooling tower is one potential method of minimizing impingement and entrainment. However, consumptive use of water </w:t>
      </w:r>
      <w:r>
        <w:rPr>
          <w:rFonts w:cs="Arial"/>
          <w:szCs w:val="24"/>
        </w:rPr>
        <w:t>is</w:t>
      </w:r>
      <w:r w:rsidRPr="00DB7156">
        <w:rPr>
          <w:rFonts w:cs="Arial"/>
          <w:szCs w:val="24"/>
        </w:rPr>
        <w:t xml:space="preserve"> increased from use of cooling towers and </w:t>
      </w:r>
      <w:r w:rsidRPr="00DB7156">
        <w:rPr>
          <w:rFonts w:cs="Arial"/>
          <w:szCs w:val="24"/>
        </w:rPr>
        <w:lastRenderedPageBreak/>
        <w:t xml:space="preserve">approximately 75% of the cooling water withdrawn is not returned to source but is lost to the atmosphere via evaporation. </w:t>
      </w:r>
    </w:p>
    <w:p w14:paraId="3EE5C0AB" w14:textId="77777777" w:rsidR="000D33E9" w:rsidRPr="00DB7156" w:rsidRDefault="000D33E9" w:rsidP="00C942DB">
      <w:pPr>
        <w:spacing w:before="120" w:after="0" w:line="240" w:lineRule="auto"/>
        <w:rPr>
          <w:rFonts w:cs="Arial"/>
          <w:szCs w:val="24"/>
        </w:rPr>
      </w:pPr>
      <w:r w:rsidRPr="00DB7156">
        <w:rPr>
          <w:rFonts w:cs="Arial"/>
          <w:szCs w:val="24"/>
        </w:rPr>
        <w:t xml:space="preserve">Dry cooling systems transfer heat to the atmosphere without the use of water. Steam leaving the turbine is piped to an air-cooled, finned-tube condenser. Dry cooling has an adverse effect on power plant efficiency, requires a large area of land, and is more expensive than wet cooling. A hybrid system incorporates elements of both wet and dry cooling systems </w:t>
      </w:r>
      <w:proofErr w:type="gramStart"/>
      <w:r w:rsidRPr="00DB7156">
        <w:rPr>
          <w:rFonts w:cs="Arial"/>
          <w:szCs w:val="24"/>
        </w:rPr>
        <w:t>in an attempt to</w:t>
      </w:r>
      <w:proofErr w:type="gramEnd"/>
      <w:r w:rsidRPr="00DB7156">
        <w:rPr>
          <w:rFonts w:cs="Arial"/>
          <w:szCs w:val="24"/>
        </w:rPr>
        <w:t xml:space="preserve"> maximize the benefits of each. Few large-scale applications of hybrid systems exist in the United States and the cost is commensurate with that of dry cooling. Neither a dry nor a hybrid cooling system is considered an economically or technically viable option for retrofit of an existing generating unit in the Southeast.</w:t>
      </w:r>
    </w:p>
    <w:p w14:paraId="13AFC130" w14:textId="264A0EAE" w:rsidR="000D33E9" w:rsidRPr="00DB7156" w:rsidRDefault="000D33E9" w:rsidP="00C942DB">
      <w:pPr>
        <w:tabs>
          <w:tab w:val="left" w:pos="360"/>
        </w:tabs>
        <w:spacing w:before="120" w:after="0" w:line="240" w:lineRule="auto"/>
        <w:rPr>
          <w:rFonts w:cs="Arial"/>
          <w:b/>
          <w:color w:val="000080"/>
          <w:szCs w:val="24"/>
        </w:rPr>
      </w:pPr>
      <w:r w:rsidRPr="6A44F22A">
        <w:rPr>
          <w:rFonts w:cs="Arial"/>
          <w:b/>
          <w:bCs/>
          <w:color w:val="000080"/>
          <w:szCs w:val="24"/>
        </w:rPr>
        <w:t>XV</w:t>
      </w:r>
      <w:r w:rsidRPr="00DB7156">
        <w:rPr>
          <w:rFonts w:cs="Arial"/>
          <w:b/>
          <w:color w:val="000080"/>
          <w:szCs w:val="24"/>
        </w:rPr>
        <w:t>.</w:t>
      </w:r>
      <w:r>
        <w:tab/>
      </w:r>
      <w:r w:rsidR="0035063E">
        <w:rPr>
          <w:rFonts w:cs="Arial"/>
          <w:b/>
          <w:color w:val="000080"/>
          <w:szCs w:val="24"/>
          <w:u w:val="single"/>
        </w:rPr>
        <w:t>Dry or Closed-Loop A</w:t>
      </w:r>
      <w:r w:rsidRPr="00DB7156">
        <w:rPr>
          <w:rFonts w:cs="Arial"/>
          <w:b/>
          <w:color w:val="000080"/>
          <w:szCs w:val="24"/>
          <w:u w:val="single"/>
        </w:rPr>
        <w:t>sh Handling Methods</w:t>
      </w:r>
    </w:p>
    <w:p w14:paraId="1A92219F" w14:textId="7A686595" w:rsidR="000D33E9" w:rsidRPr="00DB7156" w:rsidRDefault="0035063E" w:rsidP="00C942DB">
      <w:pPr>
        <w:spacing w:before="120" w:after="0" w:line="240" w:lineRule="auto"/>
        <w:rPr>
          <w:rFonts w:cs="Arial"/>
          <w:szCs w:val="24"/>
        </w:rPr>
      </w:pPr>
      <w:r>
        <w:rPr>
          <w:rFonts w:cs="Arial"/>
          <w:szCs w:val="24"/>
        </w:rPr>
        <w:t xml:space="preserve">To prevent the discharge of </w:t>
      </w:r>
      <w:r w:rsidR="004A2079">
        <w:rPr>
          <w:rFonts w:cs="Arial"/>
          <w:szCs w:val="24"/>
        </w:rPr>
        <w:t>ash sluicing water, facilities can convert to dry handling or closed loop ash sluicing. Such a</w:t>
      </w:r>
      <w:r w:rsidR="000D33E9" w:rsidRPr="00DB7156">
        <w:rPr>
          <w:rFonts w:cs="Arial"/>
          <w:szCs w:val="24"/>
        </w:rPr>
        <w:t>sh handling systems</w:t>
      </w:r>
      <w:r w:rsidR="004A2079">
        <w:rPr>
          <w:rFonts w:cs="Arial"/>
          <w:szCs w:val="24"/>
        </w:rPr>
        <w:t xml:space="preserve"> include </w:t>
      </w:r>
      <w:r w:rsidR="000D33E9" w:rsidRPr="00DB7156">
        <w:rPr>
          <w:rFonts w:cs="Arial"/>
          <w:szCs w:val="24"/>
        </w:rPr>
        <w:t>pneumatic dry ash handling equipment</w:t>
      </w:r>
      <w:r w:rsidR="004A2079">
        <w:rPr>
          <w:rFonts w:cs="Arial"/>
          <w:szCs w:val="24"/>
        </w:rPr>
        <w:t xml:space="preserve"> (typically used for lighter fly ash) and</w:t>
      </w:r>
      <w:r w:rsidR="000D33E9" w:rsidRPr="00DB7156">
        <w:rPr>
          <w:rFonts w:cs="Arial"/>
          <w:szCs w:val="24"/>
        </w:rPr>
        <w:t xml:space="preserve"> remote submerged </w:t>
      </w:r>
      <w:r w:rsidR="004A2079">
        <w:rPr>
          <w:rFonts w:cs="Arial"/>
          <w:szCs w:val="24"/>
        </w:rPr>
        <w:t xml:space="preserve">drag </w:t>
      </w:r>
      <w:r w:rsidR="000D33E9" w:rsidRPr="00DB7156">
        <w:rPr>
          <w:rFonts w:cs="Arial"/>
          <w:szCs w:val="24"/>
        </w:rPr>
        <w:t>chain conveyors and ash coolers</w:t>
      </w:r>
      <w:r w:rsidR="004A2079">
        <w:rPr>
          <w:rFonts w:cs="Arial"/>
          <w:szCs w:val="24"/>
        </w:rPr>
        <w:t xml:space="preserve"> (typically used for bottom ash)</w:t>
      </w:r>
      <w:r w:rsidR="000D33E9" w:rsidRPr="00DB7156">
        <w:rPr>
          <w:rFonts w:cs="Arial"/>
          <w:szCs w:val="24"/>
        </w:rPr>
        <w:t xml:space="preserve">. These systems are utilized in conjunction with additional storage silos and collection systems to facilitate disposal or reuse options.  </w:t>
      </w:r>
    </w:p>
    <w:p w14:paraId="44F06221" w14:textId="77777777" w:rsidR="000D33E9" w:rsidRPr="00DB7156" w:rsidRDefault="000D33E9" w:rsidP="00C942DB">
      <w:pPr>
        <w:spacing w:before="120" w:after="0" w:line="240" w:lineRule="auto"/>
        <w:rPr>
          <w:rFonts w:cs="Arial"/>
          <w:b/>
          <w:color w:val="000080"/>
          <w:szCs w:val="24"/>
        </w:rPr>
      </w:pPr>
      <w:r w:rsidRPr="480A2D46">
        <w:rPr>
          <w:rFonts w:cs="Arial"/>
          <w:b/>
          <w:bCs/>
          <w:color w:val="000080"/>
          <w:szCs w:val="24"/>
        </w:rPr>
        <w:t>XVI.</w:t>
      </w:r>
      <w:r w:rsidRPr="00DB7156">
        <w:rPr>
          <w:rFonts w:cs="Arial"/>
          <w:b/>
          <w:color w:val="000080"/>
          <w:szCs w:val="24"/>
        </w:rPr>
        <w:t xml:space="preserve">  </w:t>
      </w:r>
      <w:r w:rsidRPr="00DB7156">
        <w:rPr>
          <w:rFonts w:cs="Arial"/>
          <w:b/>
          <w:color w:val="000080"/>
          <w:szCs w:val="24"/>
          <w:u w:val="single"/>
        </w:rPr>
        <w:t>Landfills</w:t>
      </w:r>
    </w:p>
    <w:p w14:paraId="4BED86E9" w14:textId="314AADE6" w:rsidR="000D33E9" w:rsidRPr="00DB7156" w:rsidRDefault="00B033EA" w:rsidP="00C942DB">
      <w:pPr>
        <w:keepNext/>
        <w:spacing w:before="120" w:after="0" w:line="240" w:lineRule="auto"/>
        <w:rPr>
          <w:rFonts w:cs="Arial"/>
          <w:szCs w:val="24"/>
        </w:rPr>
      </w:pPr>
      <w:r>
        <w:rPr>
          <w:rFonts w:cs="Arial"/>
          <w:szCs w:val="24"/>
        </w:rPr>
        <w:t xml:space="preserve">With ash ponds no longer in use, </w:t>
      </w:r>
      <w:r w:rsidR="004360C4">
        <w:rPr>
          <w:rFonts w:cs="Arial"/>
          <w:szCs w:val="24"/>
        </w:rPr>
        <w:t xml:space="preserve">use of </w:t>
      </w:r>
      <w:r w:rsidR="000D33E9" w:rsidRPr="00DB7156">
        <w:rPr>
          <w:rFonts w:cs="Arial"/>
          <w:szCs w:val="24"/>
        </w:rPr>
        <w:t>landfill</w:t>
      </w:r>
      <w:r w:rsidR="004360C4">
        <w:rPr>
          <w:rFonts w:cs="Arial"/>
          <w:szCs w:val="24"/>
        </w:rPr>
        <w:t>s</w:t>
      </w:r>
      <w:r w:rsidR="000D33E9" w:rsidRPr="00DB7156">
        <w:rPr>
          <w:rFonts w:cs="Arial"/>
          <w:szCs w:val="24"/>
        </w:rPr>
        <w:t xml:space="preserve"> is the alternative for long</w:t>
      </w:r>
      <w:r w:rsidR="000D33E9">
        <w:rPr>
          <w:rFonts w:cs="Arial"/>
          <w:szCs w:val="24"/>
        </w:rPr>
        <w:t>-</w:t>
      </w:r>
      <w:r w:rsidR="000D33E9" w:rsidRPr="00DB7156">
        <w:rPr>
          <w:rFonts w:cs="Arial"/>
          <w:szCs w:val="24"/>
        </w:rPr>
        <w:t xml:space="preserve">term ash </w:t>
      </w:r>
      <w:r w:rsidR="004360C4">
        <w:rPr>
          <w:rFonts w:cs="Arial"/>
          <w:szCs w:val="24"/>
        </w:rPr>
        <w:t xml:space="preserve">storage or </w:t>
      </w:r>
      <w:r w:rsidR="000D33E9" w:rsidRPr="00DB7156">
        <w:rPr>
          <w:rFonts w:cs="Arial"/>
          <w:szCs w:val="24"/>
        </w:rPr>
        <w:t xml:space="preserve">disposal. This technology </w:t>
      </w:r>
      <w:r w:rsidR="004360C4">
        <w:rPr>
          <w:rFonts w:cs="Arial"/>
          <w:szCs w:val="24"/>
        </w:rPr>
        <w:t xml:space="preserve">can be </w:t>
      </w:r>
      <w:r w:rsidR="000D33E9" w:rsidRPr="00DB7156">
        <w:rPr>
          <w:rFonts w:cs="Arial"/>
          <w:szCs w:val="24"/>
        </w:rPr>
        <w:t>implemented for ash and gypsum</w:t>
      </w:r>
      <w:r w:rsidR="004360C4">
        <w:rPr>
          <w:rFonts w:cs="Arial"/>
          <w:szCs w:val="24"/>
        </w:rPr>
        <w:t>, requiring</w:t>
      </w:r>
      <w:r w:rsidR="000D33E9" w:rsidRPr="00DB7156">
        <w:rPr>
          <w:rFonts w:cs="Arial"/>
          <w:szCs w:val="24"/>
        </w:rPr>
        <w:t xml:space="preserve"> regulatory permitting, hydrogeologic/geologic studies, and large amounts of available property.  In addition, a leachate collection and pumping system would be installed to manage any landfill leachate collected</w:t>
      </w:r>
      <w:r w:rsidR="000D33E9">
        <w:rPr>
          <w:rFonts w:cs="Arial"/>
          <w:szCs w:val="24"/>
        </w:rPr>
        <w:t xml:space="preserve"> and groundwater monitoring</w:t>
      </w:r>
      <w:r w:rsidR="00064FA9">
        <w:rPr>
          <w:rFonts w:cs="Arial"/>
          <w:szCs w:val="24"/>
        </w:rPr>
        <w:t xml:space="preserve"> is required</w:t>
      </w:r>
      <w:r w:rsidR="000D33E9" w:rsidRPr="00DB7156">
        <w:rPr>
          <w:rFonts w:cs="Arial"/>
          <w:szCs w:val="24"/>
        </w:rPr>
        <w:t>.</w:t>
      </w:r>
    </w:p>
    <w:p w14:paraId="07F7B9F6" w14:textId="26EE266E" w:rsidR="000D33E9" w:rsidRPr="00DB7156" w:rsidRDefault="000D33E9" w:rsidP="00C942DB">
      <w:pPr>
        <w:spacing w:before="120" w:after="0" w:line="240" w:lineRule="auto"/>
        <w:rPr>
          <w:rFonts w:cs="Arial"/>
          <w:b/>
          <w:bCs/>
          <w:color w:val="000080"/>
          <w:u w:val="single"/>
        </w:rPr>
      </w:pPr>
      <w:r w:rsidRPr="1ACC5B7C">
        <w:rPr>
          <w:rFonts w:cs="Arial"/>
          <w:b/>
          <w:bCs/>
          <w:color w:val="000080"/>
        </w:rPr>
        <w:t>XVI</w:t>
      </w:r>
      <w:r>
        <w:rPr>
          <w:rFonts w:cs="Arial"/>
          <w:b/>
          <w:bCs/>
          <w:color w:val="000080"/>
        </w:rPr>
        <w:t>I</w:t>
      </w:r>
      <w:r w:rsidRPr="1ACC5B7C">
        <w:rPr>
          <w:rFonts w:cs="Arial"/>
          <w:b/>
          <w:bCs/>
          <w:color w:val="000080"/>
        </w:rPr>
        <w:t>.</w:t>
      </w:r>
      <w:r>
        <w:tab/>
      </w:r>
      <w:r w:rsidRPr="1ACC5B7C">
        <w:rPr>
          <w:rFonts w:cs="Arial"/>
          <w:b/>
          <w:bCs/>
          <w:color w:val="000080"/>
        </w:rPr>
        <w:t xml:space="preserve"> </w:t>
      </w:r>
      <w:r w:rsidRPr="1ACC5B7C">
        <w:rPr>
          <w:rFonts w:cs="Arial"/>
          <w:b/>
          <w:bCs/>
          <w:color w:val="000080"/>
          <w:u w:val="single"/>
        </w:rPr>
        <w:t>Wastewater Treatment</w:t>
      </w:r>
    </w:p>
    <w:p w14:paraId="2133B830" w14:textId="12F13349" w:rsidR="008C6DA2" w:rsidRDefault="008C6DA2" w:rsidP="00982A81">
      <w:pPr>
        <w:spacing w:before="120" w:after="0" w:line="240" w:lineRule="auto"/>
        <w:rPr>
          <w:rFonts w:cs="Arial"/>
        </w:rPr>
      </w:pPr>
      <w:r>
        <w:rPr>
          <w:rFonts w:cs="Arial"/>
        </w:rPr>
        <w:t xml:space="preserve">Wastewater treatment systems </w:t>
      </w:r>
      <w:r w:rsidR="00F43A0E">
        <w:rPr>
          <w:rFonts w:cs="Arial"/>
        </w:rPr>
        <w:t xml:space="preserve">remove or </w:t>
      </w:r>
      <w:r>
        <w:rPr>
          <w:rFonts w:cs="Arial"/>
        </w:rPr>
        <w:t xml:space="preserve">reduce certain constituents in wastewater prior to discharge. </w:t>
      </w:r>
      <w:r w:rsidR="00F23109">
        <w:rPr>
          <w:rFonts w:cs="Arial"/>
        </w:rPr>
        <w:t>W</w:t>
      </w:r>
      <w:r w:rsidR="00967371">
        <w:rPr>
          <w:rFonts w:cs="Arial"/>
        </w:rPr>
        <w:t xml:space="preserve">astewater treatment needs are highly site- and waste stream-specific and </w:t>
      </w:r>
      <w:r w:rsidR="00F23109">
        <w:rPr>
          <w:rFonts w:cs="Arial"/>
        </w:rPr>
        <w:t xml:space="preserve">can include various </w:t>
      </w:r>
      <w:r w:rsidR="00C54ACC">
        <w:rPr>
          <w:rFonts w:cs="Arial"/>
        </w:rPr>
        <w:t xml:space="preserve">systems or equipment, such as </w:t>
      </w:r>
      <w:r w:rsidR="00F43A0E" w:rsidRPr="00DB7156">
        <w:rPr>
          <w:rFonts w:cs="Arial"/>
          <w:szCs w:val="24"/>
        </w:rPr>
        <w:t xml:space="preserve">settling basins, tanks, clarifiers, pH adjustment, and associated pumps, </w:t>
      </w:r>
      <w:proofErr w:type="gramStart"/>
      <w:r w:rsidR="00F43A0E" w:rsidRPr="00DB7156">
        <w:rPr>
          <w:rFonts w:cs="Arial"/>
          <w:szCs w:val="24"/>
        </w:rPr>
        <w:t>piping</w:t>
      </w:r>
      <w:proofErr w:type="gramEnd"/>
      <w:r w:rsidR="00F43A0E" w:rsidRPr="00DB7156">
        <w:rPr>
          <w:rFonts w:cs="Arial"/>
          <w:szCs w:val="24"/>
        </w:rPr>
        <w:t xml:space="preserve"> and equipment</w:t>
      </w:r>
      <w:r w:rsidR="00F23109">
        <w:rPr>
          <w:rFonts w:cs="Arial"/>
          <w:szCs w:val="24"/>
        </w:rPr>
        <w:t>,</w:t>
      </w:r>
      <w:r w:rsidR="00C54ACC">
        <w:rPr>
          <w:rFonts w:cs="Arial"/>
          <w:szCs w:val="24"/>
        </w:rPr>
        <w:t xml:space="preserve"> to meet site-specific needs.</w:t>
      </w:r>
    </w:p>
    <w:p w14:paraId="3D3D42AD" w14:textId="1C87CF98" w:rsidR="00982A81" w:rsidRPr="00982A81" w:rsidRDefault="00982A81" w:rsidP="00982A81">
      <w:pPr>
        <w:spacing w:before="120" w:after="0" w:line="240" w:lineRule="auto"/>
        <w:rPr>
          <w:rFonts w:cs="Arial"/>
        </w:rPr>
      </w:pPr>
      <w:r w:rsidRPr="00982A81">
        <w:rPr>
          <w:rFonts w:cs="Arial"/>
        </w:rPr>
        <w:t xml:space="preserve">Physical-chemical treatment systems are used to reduce solids and certain metals within a waste stream. These systems may include lined settling basins, tanks, clarifiers, pH adjustment, and associated pumps, </w:t>
      </w:r>
      <w:proofErr w:type="gramStart"/>
      <w:r w:rsidRPr="00982A81">
        <w:rPr>
          <w:rFonts w:cs="Arial"/>
        </w:rPr>
        <w:t>piping</w:t>
      </w:r>
      <w:proofErr w:type="gramEnd"/>
      <w:r w:rsidRPr="00982A81">
        <w:rPr>
          <w:rFonts w:cs="Arial"/>
        </w:rPr>
        <w:t xml:space="preserve"> and equipment. These systems are widely used across industries.</w:t>
      </w:r>
    </w:p>
    <w:p w14:paraId="464313CF" w14:textId="3C999E62" w:rsidR="00982A81" w:rsidRPr="00982A81" w:rsidRDefault="00982A81" w:rsidP="00982A81">
      <w:pPr>
        <w:spacing w:before="120" w:after="0" w:line="240" w:lineRule="auto"/>
        <w:rPr>
          <w:rFonts w:cs="Arial"/>
        </w:rPr>
      </w:pPr>
      <w:r w:rsidRPr="00982A81">
        <w:rPr>
          <w:rFonts w:cs="Arial"/>
        </w:rPr>
        <w:t xml:space="preserve">Physical-chemical-biological treatment includes the same </w:t>
      </w:r>
      <w:r w:rsidR="00256941">
        <w:rPr>
          <w:rFonts w:cs="Arial"/>
        </w:rPr>
        <w:t>components as a physical-chemical system w</w:t>
      </w:r>
      <w:r w:rsidRPr="00982A81">
        <w:rPr>
          <w:rFonts w:cs="Arial"/>
        </w:rPr>
        <w:t xml:space="preserve">ith the addition of a biological treatment system to remove selenium </w:t>
      </w:r>
      <w:r w:rsidR="00807BFE">
        <w:rPr>
          <w:rFonts w:cs="Arial"/>
        </w:rPr>
        <w:t xml:space="preserve">and nitrate </w:t>
      </w:r>
      <w:r w:rsidRPr="00982A81">
        <w:rPr>
          <w:rFonts w:cs="Arial"/>
        </w:rPr>
        <w:t xml:space="preserve">from the waste stream.  This system can be used for the </w:t>
      </w:r>
      <w:r w:rsidR="00256941">
        <w:rPr>
          <w:rFonts w:cs="Arial"/>
        </w:rPr>
        <w:t>scrubber</w:t>
      </w:r>
      <w:r w:rsidRPr="00982A81">
        <w:rPr>
          <w:rFonts w:cs="Arial"/>
        </w:rPr>
        <w:t xml:space="preserve"> wastewater. These systems are newer technologies that continue to be tested and researched.</w:t>
      </w:r>
    </w:p>
    <w:p w14:paraId="70A94F9F" w14:textId="3BDB5735" w:rsidR="008D7C6E" w:rsidRDefault="00807BFE" w:rsidP="00C942DB">
      <w:pPr>
        <w:spacing w:before="120" w:after="0" w:line="240" w:lineRule="auto"/>
        <w:rPr>
          <w:rFonts w:eastAsia="Arial"/>
        </w:rPr>
      </w:pPr>
      <w:r>
        <w:rPr>
          <w:rFonts w:cs="Arial"/>
        </w:rPr>
        <w:t>For m</w:t>
      </w:r>
      <w:r w:rsidR="00982A81" w:rsidRPr="00982A81">
        <w:rPr>
          <w:rFonts w:cs="Arial"/>
        </w:rPr>
        <w:t>embrane-based treatment</w:t>
      </w:r>
      <w:r>
        <w:rPr>
          <w:rFonts w:cs="Arial"/>
        </w:rPr>
        <w:t>,</w:t>
      </w:r>
      <w:r w:rsidR="00982A81" w:rsidRPr="00982A81">
        <w:rPr>
          <w:rFonts w:cs="Arial"/>
        </w:rPr>
        <w:t xml:space="preserve"> </w:t>
      </w:r>
      <w:r w:rsidR="00256941">
        <w:rPr>
          <w:rFonts w:cs="Arial"/>
        </w:rPr>
        <w:t>scrubber</w:t>
      </w:r>
      <w:r w:rsidR="00982A81" w:rsidRPr="00982A81">
        <w:rPr>
          <w:rFonts w:cs="Arial"/>
        </w:rPr>
        <w:t xml:space="preserve"> return water use is maximized and </w:t>
      </w:r>
      <w:r w:rsidR="00256941">
        <w:rPr>
          <w:rFonts w:cs="Arial"/>
        </w:rPr>
        <w:t>scrubber</w:t>
      </w:r>
      <w:r w:rsidR="00982A81" w:rsidRPr="00982A81">
        <w:rPr>
          <w:rFonts w:cs="Arial"/>
        </w:rPr>
        <w:t xml:space="preserve"> wastewater discharge is minimized. The chloride purge stream is processed through an advanced membrane process to produce a clean permeate stream and a small brine concentrate stream. The concentrate is managed either through third party disposal, ash conditioning and landfill on-site or off-site, or paste processing and landfill on-site.</w:t>
      </w:r>
      <w:r w:rsidR="001D5F40">
        <w:rPr>
          <w:rFonts w:cs="Arial"/>
        </w:rPr>
        <w:t xml:space="preserve"> </w:t>
      </w:r>
      <w:r w:rsidR="00FD668F" w:rsidRPr="00FD668F">
        <w:rPr>
          <w:rFonts w:eastAsia="Arial"/>
        </w:rPr>
        <w:t xml:space="preserve">The permeate </w:t>
      </w:r>
      <w:r w:rsidR="00B30425">
        <w:rPr>
          <w:rFonts w:eastAsia="Arial"/>
        </w:rPr>
        <w:t>may</w:t>
      </w:r>
      <w:r w:rsidR="00FD668F" w:rsidRPr="00FD668F">
        <w:rPr>
          <w:rFonts w:eastAsia="Arial"/>
        </w:rPr>
        <w:t xml:space="preserve"> be discharged or </w:t>
      </w:r>
      <w:r w:rsidR="00586A1C">
        <w:rPr>
          <w:rFonts w:eastAsia="Arial"/>
        </w:rPr>
        <w:t>may be</w:t>
      </w:r>
      <w:r w:rsidR="00FD668F" w:rsidRPr="00FD668F">
        <w:rPr>
          <w:rFonts w:eastAsia="Arial"/>
        </w:rPr>
        <w:t xml:space="preserve"> managed through recycling back to the scrubber / boiler make-up</w:t>
      </w:r>
      <w:r w:rsidR="00586A1C">
        <w:rPr>
          <w:rFonts w:eastAsia="Arial"/>
        </w:rPr>
        <w:t xml:space="preserve"> if the unit is operational at the time</w:t>
      </w:r>
      <w:r w:rsidR="00FD668F" w:rsidRPr="00FD668F">
        <w:rPr>
          <w:rFonts w:eastAsia="Arial"/>
        </w:rPr>
        <w:t>.</w:t>
      </w:r>
    </w:p>
    <w:p w14:paraId="245A2CFA" w14:textId="77777777" w:rsidR="00AB6AD0" w:rsidRDefault="00AB6AD0" w:rsidP="00C942DB">
      <w:pPr>
        <w:spacing w:before="120" w:after="0" w:line="240" w:lineRule="auto"/>
      </w:pPr>
    </w:p>
    <w:p w14:paraId="4EA60FE1" w14:textId="77777777" w:rsidR="00E96EF3" w:rsidRDefault="00E96EF3">
      <w:pPr>
        <w:jc w:val="left"/>
        <w:rPr>
          <w:rFonts w:cs="Arial"/>
          <w:b/>
          <w:color w:val="000080"/>
          <w:szCs w:val="24"/>
        </w:rPr>
      </w:pPr>
      <w:bookmarkStart w:id="90" w:name="_Toc496107769"/>
      <w:bookmarkStart w:id="91" w:name="_Toc527987362"/>
      <w:bookmarkStart w:id="92" w:name="_Toc527983909"/>
      <w:bookmarkStart w:id="93" w:name="_Toc530487296"/>
      <w:bookmarkStart w:id="94" w:name="_Toc535908106"/>
      <w:bookmarkStart w:id="95" w:name="_Toc94197924"/>
      <w:r>
        <w:rPr>
          <w:rFonts w:cs="Arial"/>
          <w:b/>
          <w:color w:val="000080"/>
          <w:szCs w:val="24"/>
        </w:rPr>
        <w:br w:type="page"/>
      </w:r>
    </w:p>
    <w:p w14:paraId="3FECEC04" w14:textId="431DC2E7" w:rsidR="00B75586" w:rsidRDefault="00B75586" w:rsidP="00B75586">
      <w:pPr>
        <w:pStyle w:val="Heading1"/>
        <w:spacing w:before="120" w:after="0"/>
        <w:rPr>
          <w:rFonts w:eastAsia="Arial"/>
          <w:b/>
          <w:bCs/>
          <w:sz w:val="32"/>
          <w:szCs w:val="32"/>
        </w:rPr>
      </w:pPr>
      <w:bookmarkStart w:id="96" w:name="_Toc130201029"/>
      <w:r>
        <w:rPr>
          <w:rFonts w:eastAsia="Arial"/>
          <w:b/>
          <w:bCs/>
          <w:sz w:val="32"/>
          <w:szCs w:val="32"/>
        </w:rPr>
        <w:lastRenderedPageBreak/>
        <w:t xml:space="preserve">ECS - </w:t>
      </w:r>
      <w:r w:rsidRPr="00F77C78">
        <w:rPr>
          <w:rFonts w:eastAsia="Arial"/>
          <w:b/>
          <w:bCs/>
          <w:sz w:val="32"/>
          <w:szCs w:val="32"/>
        </w:rPr>
        <w:t xml:space="preserve">Appendix </w:t>
      </w:r>
      <w:r w:rsidR="00182294">
        <w:rPr>
          <w:rFonts w:eastAsia="Arial"/>
          <w:b/>
          <w:bCs/>
          <w:sz w:val="32"/>
          <w:szCs w:val="32"/>
        </w:rPr>
        <w:t>D</w:t>
      </w:r>
      <w:r w:rsidRPr="00F77C78">
        <w:rPr>
          <w:rFonts w:eastAsia="Arial"/>
          <w:b/>
          <w:bCs/>
          <w:sz w:val="32"/>
          <w:szCs w:val="32"/>
        </w:rPr>
        <w:t xml:space="preserve"> – </w:t>
      </w:r>
      <w:r>
        <w:rPr>
          <w:rFonts w:eastAsia="Arial"/>
          <w:b/>
          <w:bCs/>
          <w:sz w:val="32"/>
          <w:szCs w:val="32"/>
        </w:rPr>
        <w:t>High</w:t>
      </w:r>
      <w:r w:rsidR="00361ABD">
        <w:rPr>
          <w:rFonts w:eastAsia="Arial"/>
          <w:b/>
          <w:bCs/>
          <w:sz w:val="32"/>
          <w:szCs w:val="32"/>
        </w:rPr>
        <w:t>-</w:t>
      </w:r>
      <w:r>
        <w:rPr>
          <w:rFonts w:eastAsia="Arial"/>
          <w:b/>
          <w:bCs/>
          <w:sz w:val="32"/>
          <w:szCs w:val="32"/>
        </w:rPr>
        <w:t>Level and Low</w:t>
      </w:r>
      <w:r w:rsidR="00361ABD">
        <w:rPr>
          <w:rFonts w:eastAsia="Arial"/>
          <w:b/>
          <w:bCs/>
          <w:sz w:val="32"/>
          <w:szCs w:val="32"/>
        </w:rPr>
        <w:t>-</w:t>
      </w:r>
      <w:r>
        <w:rPr>
          <w:rFonts w:eastAsia="Arial"/>
          <w:b/>
          <w:bCs/>
          <w:sz w:val="32"/>
          <w:szCs w:val="32"/>
        </w:rPr>
        <w:t xml:space="preserve">Level Radioactive Waste Storage </w:t>
      </w:r>
      <w:bookmarkEnd w:id="96"/>
    </w:p>
    <w:bookmarkEnd w:id="90"/>
    <w:bookmarkEnd w:id="91"/>
    <w:bookmarkEnd w:id="92"/>
    <w:bookmarkEnd w:id="93"/>
    <w:bookmarkEnd w:id="94"/>
    <w:bookmarkEnd w:id="95"/>
    <w:p w14:paraId="3384E48D" w14:textId="77777777" w:rsidR="00F10BDD" w:rsidRPr="00DB7156" w:rsidRDefault="00F10BDD" w:rsidP="00C942DB">
      <w:pPr>
        <w:spacing w:before="120" w:after="0" w:line="240" w:lineRule="auto"/>
        <w:rPr>
          <w:rFonts w:cs="Arial"/>
          <w:b/>
          <w:color w:val="000080"/>
          <w:szCs w:val="24"/>
          <w:u w:val="single"/>
        </w:rPr>
      </w:pPr>
      <w:r w:rsidRPr="00DB7156">
        <w:rPr>
          <w:rFonts w:cs="Arial"/>
          <w:b/>
          <w:color w:val="000080"/>
          <w:szCs w:val="24"/>
          <w:u w:val="single"/>
        </w:rPr>
        <w:t xml:space="preserve">PLANTS HATCH AND VOGTLE </w:t>
      </w:r>
    </w:p>
    <w:p w14:paraId="2BB67D1C" w14:textId="77777777" w:rsidR="00F10BDD" w:rsidRPr="00DB7156" w:rsidRDefault="00F10BDD" w:rsidP="00C942DB">
      <w:pPr>
        <w:spacing w:before="120" w:after="0" w:line="240" w:lineRule="auto"/>
        <w:rPr>
          <w:rFonts w:cs="Arial"/>
          <w:sz w:val="32"/>
          <w:szCs w:val="32"/>
        </w:rPr>
      </w:pPr>
      <w:r>
        <w:rPr>
          <w:rFonts w:cs="Arial"/>
          <w:szCs w:val="24"/>
        </w:rPr>
        <w:t>Georgia Power’s affiliate</w:t>
      </w:r>
      <w:r w:rsidRPr="00DB7156">
        <w:rPr>
          <w:rFonts w:cs="Arial"/>
          <w:szCs w:val="24"/>
        </w:rPr>
        <w:t>, Southern Nuclear Operating Company (</w:t>
      </w:r>
      <w:r>
        <w:rPr>
          <w:rFonts w:cs="Arial"/>
          <w:szCs w:val="24"/>
        </w:rPr>
        <w:t>“</w:t>
      </w:r>
      <w:r w:rsidRPr="00DB7156">
        <w:rPr>
          <w:rFonts w:cs="Arial"/>
          <w:szCs w:val="24"/>
        </w:rPr>
        <w:t>Southern Nuclear</w:t>
      </w:r>
      <w:r>
        <w:rPr>
          <w:rFonts w:cs="Arial"/>
          <w:szCs w:val="24"/>
        </w:rPr>
        <w:t>”</w:t>
      </w:r>
      <w:r w:rsidRPr="00DB7156">
        <w:rPr>
          <w:rFonts w:cs="Arial"/>
          <w:szCs w:val="24"/>
        </w:rPr>
        <w:t>) safely operates and maintains Plants Hatch and Vogtle in accordance with industry standards and regulatory requirements. Southern Nuclear is dedicated to maintaining the highest standards for safely handling radioactive waste to protect the public, the environment, and its workers.</w:t>
      </w:r>
    </w:p>
    <w:p w14:paraId="4478A9B7" w14:textId="77777777" w:rsidR="00F10BDD" w:rsidRPr="00DB7156" w:rsidRDefault="00F10BDD" w:rsidP="00C942DB">
      <w:pPr>
        <w:spacing w:before="120" w:after="0" w:line="240" w:lineRule="auto"/>
        <w:rPr>
          <w:rFonts w:cs="Arial"/>
          <w:b/>
          <w:szCs w:val="24"/>
          <w:u w:val="single"/>
        </w:rPr>
      </w:pPr>
      <w:r w:rsidRPr="00DB7156">
        <w:rPr>
          <w:rFonts w:cs="Arial"/>
          <w:b/>
          <w:szCs w:val="24"/>
          <w:u w:val="single"/>
        </w:rPr>
        <w:t>High-Level Radioactive Waste (</w:t>
      </w:r>
      <w:r>
        <w:rPr>
          <w:rFonts w:cs="Arial"/>
          <w:b/>
          <w:szCs w:val="24"/>
          <w:u w:val="single"/>
        </w:rPr>
        <w:t>“</w:t>
      </w:r>
      <w:r w:rsidRPr="00DB7156">
        <w:rPr>
          <w:rFonts w:cs="Arial"/>
          <w:b/>
          <w:szCs w:val="24"/>
          <w:u w:val="single"/>
        </w:rPr>
        <w:t>HLRW</w:t>
      </w:r>
      <w:r>
        <w:rPr>
          <w:rFonts w:cs="Arial"/>
          <w:b/>
          <w:szCs w:val="24"/>
          <w:u w:val="single"/>
        </w:rPr>
        <w:t>”</w:t>
      </w:r>
      <w:r w:rsidRPr="00DB7156">
        <w:rPr>
          <w:rFonts w:cs="Arial"/>
          <w:b/>
          <w:szCs w:val="24"/>
          <w:u w:val="single"/>
        </w:rPr>
        <w:t xml:space="preserve"> - spent fuel) </w:t>
      </w:r>
    </w:p>
    <w:p w14:paraId="6413A5A0" w14:textId="77777777" w:rsidR="00F10BDD" w:rsidRPr="00DB7156" w:rsidRDefault="00F10BDD" w:rsidP="00C942DB">
      <w:pPr>
        <w:spacing w:before="120" w:after="0" w:line="240" w:lineRule="auto"/>
        <w:rPr>
          <w:rFonts w:cs="Arial"/>
          <w:szCs w:val="24"/>
          <w:u w:val="single"/>
        </w:rPr>
      </w:pPr>
      <w:r w:rsidRPr="00DB7156">
        <w:rPr>
          <w:rFonts w:cs="Arial"/>
          <w:szCs w:val="24"/>
          <w:u w:val="single"/>
        </w:rPr>
        <w:t>Dry Cask Storage:</w:t>
      </w:r>
    </w:p>
    <w:p w14:paraId="60C5C44A" w14:textId="77777777" w:rsidR="00F10BDD" w:rsidRPr="00DB7156" w:rsidRDefault="00F10BDD" w:rsidP="00C942DB">
      <w:pPr>
        <w:spacing w:before="120" w:after="0" w:line="240" w:lineRule="auto"/>
        <w:rPr>
          <w:rFonts w:cs="Arial"/>
        </w:rPr>
      </w:pPr>
      <w:r w:rsidRPr="1ACC5B7C">
        <w:rPr>
          <w:rFonts w:cs="Arial"/>
          <w:color w:val="000000" w:themeColor="text1"/>
        </w:rPr>
        <w:t>Plant Hatch and Plant Vogtle</w:t>
      </w:r>
      <w:r w:rsidRPr="1ACC5B7C">
        <w:rPr>
          <w:rFonts w:cs="Arial"/>
        </w:rPr>
        <w:t xml:space="preserve"> currently store spent fuel in underwater spent fuel pools and some above ground in dry casks on concrete pads known as Independent Spent Fuel Storage Installations until such time that the federal government licenses and builds a permanent disposal facility capable of accepting this waste.</w:t>
      </w:r>
    </w:p>
    <w:p w14:paraId="3A55D4CB" w14:textId="77777777" w:rsidR="00F10BDD" w:rsidRPr="00DB7156" w:rsidRDefault="00F10BDD" w:rsidP="00C942DB">
      <w:pPr>
        <w:spacing w:before="120" w:after="0" w:line="240" w:lineRule="auto"/>
        <w:rPr>
          <w:rFonts w:cs="Arial"/>
        </w:rPr>
      </w:pPr>
      <w:r w:rsidRPr="1ACC5B7C">
        <w:rPr>
          <w:rFonts w:cs="Arial"/>
        </w:rPr>
        <w:t xml:space="preserve">These above ground dry casks are engineered to assist in cooling the spent fuel bundles while providing adequate shielding for the protection of plant employees as well as the surrounding community and environment. </w:t>
      </w:r>
    </w:p>
    <w:p w14:paraId="3C625784" w14:textId="77777777" w:rsidR="00F10BDD" w:rsidRPr="00DB7156" w:rsidRDefault="00F10BDD" w:rsidP="00C942DB">
      <w:pPr>
        <w:spacing w:before="120" w:after="0" w:line="240" w:lineRule="auto"/>
        <w:rPr>
          <w:rFonts w:cs="Arial"/>
          <w:b/>
          <w:szCs w:val="24"/>
          <w:u w:val="single"/>
        </w:rPr>
      </w:pPr>
      <w:r w:rsidRPr="00DB7156">
        <w:rPr>
          <w:rFonts w:cs="Arial"/>
          <w:b/>
          <w:szCs w:val="24"/>
          <w:u w:val="single"/>
        </w:rPr>
        <w:t>Low-Level Radioactive Waste (</w:t>
      </w:r>
      <w:r>
        <w:rPr>
          <w:rFonts w:cs="Arial"/>
          <w:b/>
          <w:szCs w:val="24"/>
          <w:u w:val="single"/>
        </w:rPr>
        <w:t>“</w:t>
      </w:r>
      <w:r w:rsidRPr="00DB7156">
        <w:rPr>
          <w:rFonts w:cs="Arial"/>
          <w:b/>
          <w:szCs w:val="24"/>
          <w:u w:val="single"/>
        </w:rPr>
        <w:t>LLRW</w:t>
      </w:r>
      <w:r>
        <w:rPr>
          <w:rFonts w:cs="Arial"/>
          <w:b/>
          <w:szCs w:val="24"/>
          <w:u w:val="single"/>
        </w:rPr>
        <w:t>”</w:t>
      </w:r>
      <w:r w:rsidRPr="00DB7156">
        <w:rPr>
          <w:rFonts w:cs="Arial"/>
          <w:b/>
          <w:szCs w:val="24"/>
          <w:u w:val="single"/>
        </w:rPr>
        <w:t xml:space="preserve"> - trash, tools, scrap, filtering media, irradiated hardware, etc.)</w:t>
      </w:r>
    </w:p>
    <w:p w14:paraId="23C432FB" w14:textId="77777777" w:rsidR="00F10BDD" w:rsidRPr="00DB7156" w:rsidRDefault="00F10BDD" w:rsidP="00C942DB">
      <w:pPr>
        <w:spacing w:before="120" w:after="0" w:line="240" w:lineRule="auto"/>
        <w:rPr>
          <w:rFonts w:cs="Arial"/>
          <w:szCs w:val="24"/>
        </w:rPr>
      </w:pPr>
      <w:proofErr w:type="gramStart"/>
      <w:r w:rsidRPr="00DB7156">
        <w:rPr>
          <w:rFonts w:cs="Arial"/>
          <w:szCs w:val="24"/>
        </w:rPr>
        <w:t>Similar to</w:t>
      </w:r>
      <w:proofErr w:type="gramEnd"/>
      <w:r w:rsidRPr="00DB7156">
        <w:rPr>
          <w:rFonts w:cs="Arial"/>
          <w:szCs w:val="24"/>
        </w:rPr>
        <w:t xml:space="preserve"> the nuclear power industry, over 95 percent of the LLRW generated by Plant Hatch and Plant Vogtle continues to be buried at the Energy Solutions burial site in Clive, U</w:t>
      </w:r>
      <w:r>
        <w:rPr>
          <w:rFonts w:cs="Arial"/>
          <w:szCs w:val="24"/>
        </w:rPr>
        <w:t>tah</w:t>
      </w:r>
      <w:r w:rsidRPr="00DB7156">
        <w:rPr>
          <w:rFonts w:cs="Arial"/>
          <w:szCs w:val="24"/>
        </w:rPr>
        <w:t>.</w:t>
      </w:r>
    </w:p>
    <w:p w14:paraId="6A916816" w14:textId="4A93A006" w:rsidR="00F10BDD" w:rsidRDefault="00F10BDD" w:rsidP="0071202E">
      <w:pPr>
        <w:spacing w:before="120" w:after="0" w:line="240" w:lineRule="auto"/>
        <w:rPr>
          <w:rFonts w:cs="Arial"/>
          <w:b/>
          <w:color w:val="000080"/>
          <w:szCs w:val="24"/>
          <w:u w:val="single"/>
        </w:rPr>
      </w:pPr>
      <w:r w:rsidRPr="1ACC5B7C">
        <w:rPr>
          <w:rFonts w:cs="Arial"/>
        </w:rPr>
        <w:t xml:space="preserve">Plant Hatch and Plant Vogtle send waste that cannot be disposed of directly at Energy Solutions’, Clive, Utah facility either to, Energy Solutions for additional processing or to the Waste Control Specialist, Andrew County, Texas facility for disposal. Plant Hatch and Plant Vogtle may store this waste on the site where it was generated inside concrete shields on a concrete pad until it </w:t>
      </w:r>
      <w:r w:rsidR="0071202E">
        <w:rPr>
          <w:rFonts w:cs="Arial"/>
        </w:rPr>
        <w:t>meets NRC/DOG requirements for transportation and disposal.</w:t>
      </w:r>
    </w:p>
    <w:p w14:paraId="35313B60" w14:textId="49E20390" w:rsidR="00E1589D" w:rsidRDefault="00E1589D" w:rsidP="00C942DB">
      <w:pPr>
        <w:spacing w:before="120" w:after="0" w:line="240" w:lineRule="auto"/>
      </w:pPr>
    </w:p>
    <w:p w14:paraId="7EAF963B" w14:textId="31235D5B" w:rsidR="009747D4" w:rsidRPr="009747D4" w:rsidRDefault="009747D4" w:rsidP="009747D4"/>
    <w:p w14:paraId="34C132B8" w14:textId="72C37B55" w:rsidR="009747D4" w:rsidRPr="009747D4" w:rsidRDefault="009747D4" w:rsidP="009747D4"/>
    <w:p w14:paraId="505F5873" w14:textId="74D11542" w:rsidR="009747D4" w:rsidRPr="009747D4" w:rsidRDefault="009747D4" w:rsidP="009747D4"/>
    <w:p w14:paraId="14296AE2" w14:textId="13F614C7" w:rsidR="009747D4" w:rsidRPr="009747D4" w:rsidRDefault="009747D4" w:rsidP="009747D4"/>
    <w:p w14:paraId="6287E45E" w14:textId="1250CE55" w:rsidR="009747D4" w:rsidRPr="009747D4" w:rsidRDefault="009747D4" w:rsidP="009747D4"/>
    <w:p w14:paraId="410840BC" w14:textId="74A84C6D" w:rsidR="009747D4" w:rsidRDefault="009747D4" w:rsidP="009747D4"/>
    <w:p w14:paraId="7788F385" w14:textId="5BF33452" w:rsidR="009747D4" w:rsidRPr="009747D4" w:rsidRDefault="009747D4" w:rsidP="009747D4">
      <w:pPr>
        <w:tabs>
          <w:tab w:val="left" w:pos="8347"/>
        </w:tabs>
      </w:pPr>
      <w:r>
        <w:tab/>
      </w:r>
    </w:p>
    <w:sectPr w:rsidR="009747D4" w:rsidRPr="009747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C2468" w14:textId="77777777" w:rsidR="00E57D27" w:rsidRDefault="00E57D27" w:rsidP="00BE3E3C">
      <w:pPr>
        <w:spacing w:after="0" w:line="240" w:lineRule="auto"/>
      </w:pPr>
      <w:r>
        <w:separator/>
      </w:r>
    </w:p>
  </w:endnote>
  <w:endnote w:type="continuationSeparator" w:id="0">
    <w:p w14:paraId="3064A528" w14:textId="77777777" w:rsidR="00E57D27" w:rsidRDefault="00E57D27" w:rsidP="00BE3E3C">
      <w:pPr>
        <w:spacing w:after="0" w:line="240" w:lineRule="auto"/>
      </w:pPr>
      <w:r>
        <w:continuationSeparator/>
      </w:r>
    </w:p>
  </w:endnote>
  <w:endnote w:type="continuationNotice" w:id="1">
    <w:p w14:paraId="22DA6A35" w14:textId="77777777" w:rsidR="00E57D27" w:rsidRDefault="00E57D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8062B" w14:textId="77777777" w:rsidR="005B5EEF" w:rsidRDefault="005B5E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1646" w14:textId="2E825B4F" w:rsidR="00287ADF" w:rsidRDefault="00287ADF">
    <w:pPr>
      <w:pStyle w:val="Footer"/>
      <w:jc w:val="right"/>
    </w:pPr>
  </w:p>
  <w:p w14:paraId="3D2F3A72" w14:textId="77777777" w:rsidR="00287ADF" w:rsidRDefault="00287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244E7" w14:textId="77777777" w:rsidR="005B5EEF" w:rsidRDefault="005B5E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4542789"/>
      <w:docPartObj>
        <w:docPartGallery w:val="Page Numbers (Bottom of Page)"/>
        <w:docPartUnique/>
      </w:docPartObj>
    </w:sdtPr>
    <w:sdtEndPr>
      <w:rPr>
        <w:noProof/>
      </w:rPr>
    </w:sdtEndPr>
    <w:sdtContent>
      <w:p w14:paraId="7F53FED5" w14:textId="595CE121" w:rsidR="00322198" w:rsidRDefault="0032219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DE3F0A" w14:textId="77777777" w:rsidR="00322198" w:rsidRDefault="0032219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B914" w14:textId="77777777" w:rsidR="004A5D93" w:rsidRDefault="004A5D9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3FF6" w14:textId="7D0D11B6" w:rsidR="007A4D7E" w:rsidRDefault="007A4D7E">
    <w:pPr>
      <w:pStyle w:val="Footer"/>
      <w:jc w:val="right"/>
    </w:pPr>
  </w:p>
  <w:p w14:paraId="02ED7D42" w14:textId="77777777" w:rsidR="002D0CED" w:rsidRDefault="002D0CE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E0A94" w14:textId="77777777" w:rsidR="004A5D93" w:rsidRDefault="004A5D9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EF811" w14:textId="54AA91CD" w:rsidR="007A4D7E" w:rsidRDefault="00C82302">
    <w:pPr>
      <w:pStyle w:val="Footer"/>
      <w:jc w:val="right"/>
    </w:pPr>
    <w:r>
      <w:t xml:space="preserve">Page </w:t>
    </w:r>
    <w:sdt>
      <w:sdtPr>
        <w:id w:val="1077862499"/>
        <w:docPartObj>
          <w:docPartGallery w:val="Page Numbers (Bottom of Page)"/>
          <w:docPartUnique/>
        </w:docPartObj>
      </w:sdtPr>
      <w:sdtEndPr>
        <w:rPr>
          <w:noProof/>
        </w:rPr>
      </w:sdtEndPr>
      <w:sdtContent>
        <w:r w:rsidR="007A4D7E">
          <w:fldChar w:fldCharType="begin"/>
        </w:r>
        <w:r w:rsidR="007A4D7E">
          <w:instrText xml:space="preserve"> PAGE   \* MERGEFORMAT </w:instrText>
        </w:r>
        <w:r w:rsidR="007A4D7E">
          <w:fldChar w:fldCharType="separate"/>
        </w:r>
        <w:r w:rsidR="007A4D7E">
          <w:rPr>
            <w:noProof/>
          </w:rPr>
          <w:t>2</w:t>
        </w:r>
        <w:r w:rsidR="007A4D7E">
          <w:rPr>
            <w:noProof/>
          </w:rPr>
          <w:fldChar w:fldCharType="end"/>
        </w:r>
      </w:sdtContent>
    </w:sdt>
  </w:p>
  <w:p w14:paraId="1E2F8609" w14:textId="77777777" w:rsidR="007A4D7E" w:rsidRDefault="007A4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B948" w14:textId="77777777" w:rsidR="00E57D27" w:rsidRDefault="00E57D27" w:rsidP="00BE3E3C">
      <w:pPr>
        <w:spacing w:after="0" w:line="240" w:lineRule="auto"/>
      </w:pPr>
      <w:r>
        <w:separator/>
      </w:r>
    </w:p>
  </w:footnote>
  <w:footnote w:type="continuationSeparator" w:id="0">
    <w:p w14:paraId="1FF60A07" w14:textId="77777777" w:rsidR="00E57D27" w:rsidRDefault="00E57D27" w:rsidP="00BE3E3C">
      <w:pPr>
        <w:spacing w:after="0" w:line="240" w:lineRule="auto"/>
      </w:pPr>
      <w:r>
        <w:continuationSeparator/>
      </w:r>
    </w:p>
  </w:footnote>
  <w:footnote w:type="continuationNotice" w:id="1">
    <w:p w14:paraId="2E5E1D01" w14:textId="77777777" w:rsidR="00E57D27" w:rsidRDefault="00E57D27">
      <w:pPr>
        <w:spacing w:after="0" w:line="240" w:lineRule="auto"/>
      </w:pPr>
    </w:p>
  </w:footnote>
  <w:footnote w:id="2">
    <w:p w14:paraId="61C6FF81" w14:textId="306238F1" w:rsidR="00697A09" w:rsidRDefault="00697A09">
      <w:pPr>
        <w:pStyle w:val="FootnoteText"/>
      </w:pPr>
      <w:r>
        <w:rPr>
          <w:rStyle w:val="FootnoteReference"/>
        </w:rPr>
        <w:footnoteRef/>
      </w:r>
      <w:r>
        <w:t xml:space="preserve"> </w:t>
      </w:r>
      <w:r w:rsidR="007C122F" w:rsidRPr="007C122F">
        <w:rPr>
          <w:rFonts w:asciiTheme="minorHAnsi" w:hAnsiTheme="minorHAnsi" w:cstheme="minorHAnsi"/>
        </w:rPr>
        <w:t>https://www.georgiapower.com/company/environmental-compliance/ccr-rule-compliance-data.html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0FC1" w14:textId="77777777" w:rsidR="005B5EEF" w:rsidRDefault="005B5E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1474C" w14:textId="77777777" w:rsidR="005B5EEF" w:rsidRDefault="005B5E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94A4B" w14:textId="77777777" w:rsidR="005B5EEF" w:rsidRDefault="005B5E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DC7E5" w14:textId="77777777" w:rsidR="004A5D93" w:rsidRDefault="004A5D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ADF5B" w14:textId="77777777" w:rsidR="0037771E" w:rsidRDefault="003777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1468D" w14:textId="77777777" w:rsidR="004A5D93" w:rsidRDefault="004A5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E0F4B"/>
    <w:multiLevelType w:val="hybridMultilevel"/>
    <w:tmpl w:val="56EE3CC6"/>
    <w:lvl w:ilvl="0" w:tplc="01BA9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F781E28"/>
    <w:multiLevelType w:val="hybridMultilevel"/>
    <w:tmpl w:val="BA96A0EE"/>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E095D"/>
    <w:multiLevelType w:val="hybridMultilevel"/>
    <w:tmpl w:val="AA18C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161974"/>
    <w:multiLevelType w:val="hybridMultilevel"/>
    <w:tmpl w:val="5186D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55D54"/>
    <w:multiLevelType w:val="hybridMultilevel"/>
    <w:tmpl w:val="4A04E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723788"/>
    <w:multiLevelType w:val="multilevel"/>
    <w:tmpl w:val="559E01E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33FC7F27"/>
    <w:multiLevelType w:val="hybridMultilevel"/>
    <w:tmpl w:val="9B881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CE711D"/>
    <w:multiLevelType w:val="hybridMultilevel"/>
    <w:tmpl w:val="8674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AA5646"/>
    <w:multiLevelType w:val="hybridMultilevel"/>
    <w:tmpl w:val="19C02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13826"/>
    <w:multiLevelType w:val="hybridMultilevel"/>
    <w:tmpl w:val="13703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A7108"/>
    <w:multiLevelType w:val="hybridMultilevel"/>
    <w:tmpl w:val="1D5EF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1F6929"/>
    <w:multiLevelType w:val="hybridMultilevel"/>
    <w:tmpl w:val="CFAEF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4215BE"/>
    <w:multiLevelType w:val="hybridMultilevel"/>
    <w:tmpl w:val="B39A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FB1ADB"/>
    <w:multiLevelType w:val="hybridMultilevel"/>
    <w:tmpl w:val="D54EC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F469A9"/>
    <w:multiLevelType w:val="hybridMultilevel"/>
    <w:tmpl w:val="E7008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AE59AC"/>
    <w:multiLevelType w:val="hybridMultilevel"/>
    <w:tmpl w:val="D09E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1821B1"/>
    <w:multiLevelType w:val="hybridMultilevel"/>
    <w:tmpl w:val="14A8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40C34"/>
    <w:multiLevelType w:val="hybridMultilevel"/>
    <w:tmpl w:val="A29EF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358C9"/>
    <w:multiLevelType w:val="hybridMultilevel"/>
    <w:tmpl w:val="DCD0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045387">
    <w:abstractNumId w:val="1"/>
  </w:num>
  <w:num w:numId="2" w16cid:durableId="865101770">
    <w:abstractNumId w:val="0"/>
  </w:num>
  <w:num w:numId="3" w16cid:durableId="354507146">
    <w:abstractNumId w:val="9"/>
  </w:num>
  <w:num w:numId="4" w16cid:durableId="1794403221">
    <w:abstractNumId w:val="7"/>
  </w:num>
  <w:num w:numId="5" w16cid:durableId="1221553705">
    <w:abstractNumId w:val="5"/>
  </w:num>
  <w:num w:numId="6" w16cid:durableId="1807044405">
    <w:abstractNumId w:val="15"/>
  </w:num>
  <w:num w:numId="7" w16cid:durableId="516700892">
    <w:abstractNumId w:val="13"/>
  </w:num>
  <w:num w:numId="8" w16cid:durableId="170025472">
    <w:abstractNumId w:val="16"/>
  </w:num>
  <w:num w:numId="9" w16cid:durableId="1275360052">
    <w:abstractNumId w:val="10"/>
  </w:num>
  <w:num w:numId="10" w16cid:durableId="1580167934">
    <w:abstractNumId w:val="8"/>
  </w:num>
  <w:num w:numId="11" w16cid:durableId="2134248678">
    <w:abstractNumId w:val="17"/>
  </w:num>
  <w:num w:numId="12" w16cid:durableId="48308528">
    <w:abstractNumId w:val="12"/>
  </w:num>
  <w:num w:numId="13" w16cid:durableId="768427170">
    <w:abstractNumId w:val="6"/>
  </w:num>
  <w:num w:numId="14" w16cid:durableId="1083330976">
    <w:abstractNumId w:val="3"/>
  </w:num>
  <w:num w:numId="15" w16cid:durableId="2040812328">
    <w:abstractNumId w:val="18"/>
  </w:num>
  <w:num w:numId="16" w16cid:durableId="980235578">
    <w:abstractNumId w:val="4"/>
  </w:num>
  <w:num w:numId="17" w16cid:durableId="147328383">
    <w:abstractNumId w:val="14"/>
  </w:num>
  <w:num w:numId="18" w16cid:durableId="1998338791">
    <w:abstractNumId w:val="11"/>
  </w:num>
  <w:num w:numId="19" w16cid:durableId="74587699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07"/>
    <w:rsid w:val="000000AF"/>
    <w:rsid w:val="0000093D"/>
    <w:rsid w:val="000014EE"/>
    <w:rsid w:val="00001657"/>
    <w:rsid w:val="00001A14"/>
    <w:rsid w:val="00001F0B"/>
    <w:rsid w:val="000020EA"/>
    <w:rsid w:val="00002B41"/>
    <w:rsid w:val="00002BF4"/>
    <w:rsid w:val="00002DE1"/>
    <w:rsid w:val="00003841"/>
    <w:rsid w:val="00003E59"/>
    <w:rsid w:val="00004434"/>
    <w:rsid w:val="000044D6"/>
    <w:rsid w:val="000045D3"/>
    <w:rsid w:val="0000469B"/>
    <w:rsid w:val="00004B0D"/>
    <w:rsid w:val="00004E29"/>
    <w:rsid w:val="000050B5"/>
    <w:rsid w:val="00005202"/>
    <w:rsid w:val="000054F4"/>
    <w:rsid w:val="00005613"/>
    <w:rsid w:val="00005AA3"/>
    <w:rsid w:val="000061E5"/>
    <w:rsid w:val="000063F5"/>
    <w:rsid w:val="0000658C"/>
    <w:rsid w:val="000068D4"/>
    <w:rsid w:val="000101ED"/>
    <w:rsid w:val="00010631"/>
    <w:rsid w:val="000108ED"/>
    <w:rsid w:val="00010A13"/>
    <w:rsid w:val="00010F1A"/>
    <w:rsid w:val="00011661"/>
    <w:rsid w:val="0001221E"/>
    <w:rsid w:val="00012269"/>
    <w:rsid w:val="00012309"/>
    <w:rsid w:val="00012F72"/>
    <w:rsid w:val="0001348F"/>
    <w:rsid w:val="00013843"/>
    <w:rsid w:val="0001385F"/>
    <w:rsid w:val="00014052"/>
    <w:rsid w:val="00014111"/>
    <w:rsid w:val="0001438C"/>
    <w:rsid w:val="000148DD"/>
    <w:rsid w:val="0001495F"/>
    <w:rsid w:val="00014C64"/>
    <w:rsid w:val="0001514C"/>
    <w:rsid w:val="000155EA"/>
    <w:rsid w:val="0001567A"/>
    <w:rsid w:val="00015BA7"/>
    <w:rsid w:val="00016117"/>
    <w:rsid w:val="000172F4"/>
    <w:rsid w:val="0001738F"/>
    <w:rsid w:val="000173D0"/>
    <w:rsid w:val="0002047D"/>
    <w:rsid w:val="00020583"/>
    <w:rsid w:val="000205A3"/>
    <w:rsid w:val="00020B36"/>
    <w:rsid w:val="00020C4B"/>
    <w:rsid w:val="0002127F"/>
    <w:rsid w:val="00021813"/>
    <w:rsid w:val="00021E4A"/>
    <w:rsid w:val="00021F83"/>
    <w:rsid w:val="000223CE"/>
    <w:rsid w:val="000223D4"/>
    <w:rsid w:val="000232C8"/>
    <w:rsid w:val="0002338D"/>
    <w:rsid w:val="000235AE"/>
    <w:rsid w:val="00023D89"/>
    <w:rsid w:val="00023DA1"/>
    <w:rsid w:val="00023EAD"/>
    <w:rsid w:val="0002458A"/>
    <w:rsid w:val="00024743"/>
    <w:rsid w:val="0002482F"/>
    <w:rsid w:val="00025513"/>
    <w:rsid w:val="000265AE"/>
    <w:rsid w:val="00026F9D"/>
    <w:rsid w:val="00027045"/>
    <w:rsid w:val="00027772"/>
    <w:rsid w:val="00027E55"/>
    <w:rsid w:val="000301DF"/>
    <w:rsid w:val="000306A8"/>
    <w:rsid w:val="00030AD7"/>
    <w:rsid w:val="00030C7D"/>
    <w:rsid w:val="000310DB"/>
    <w:rsid w:val="00031572"/>
    <w:rsid w:val="00031602"/>
    <w:rsid w:val="0003183D"/>
    <w:rsid w:val="00031B64"/>
    <w:rsid w:val="000324F1"/>
    <w:rsid w:val="0003251C"/>
    <w:rsid w:val="00032585"/>
    <w:rsid w:val="0003287E"/>
    <w:rsid w:val="00032C6B"/>
    <w:rsid w:val="0003339B"/>
    <w:rsid w:val="00033EC7"/>
    <w:rsid w:val="00033FB9"/>
    <w:rsid w:val="0003451F"/>
    <w:rsid w:val="00034E54"/>
    <w:rsid w:val="00035025"/>
    <w:rsid w:val="0003523C"/>
    <w:rsid w:val="000355BA"/>
    <w:rsid w:val="00035784"/>
    <w:rsid w:val="00035F31"/>
    <w:rsid w:val="000364CF"/>
    <w:rsid w:val="00036628"/>
    <w:rsid w:val="00036D6A"/>
    <w:rsid w:val="00036F99"/>
    <w:rsid w:val="00037421"/>
    <w:rsid w:val="00037A64"/>
    <w:rsid w:val="00037E71"/>
    <w:rsid w:val="00037E8F"/>
    <w:rsid w:val="00040168"/>
    <w:rsid w:val="00040FF0"/>
    <w:rsid w:val="0004128E"/>
    <w:rsid w:val="000412DA"/>
    <w:rsid w:val="000414F2"/>
    <w:rsid w:val="0004197C"/>
    <w:rsid w:val="000419F0"/>
    <w:rsid w:val="00041B69"/>
    <w:rsid w:val="000424EC"/>
    <w:rsid w:val="000425C2"/>
    <w:rsid w:val="00042615"/>
    <w:rsid w:val="00042653"/>
    <w:rsid w:val="00042826"/>
    <w:rsid w:val="000432DD"/>
    <w:rsid w:val="000434FA"/>
    <w:rsid w:val="000437BC"/>
    <w:rsid w:val="0004390C"/>
    <w:rsid w:val="000441AB"/>
    <w:rsid w:val="0004459D"/>
    <w:rsid w:val="000449A8"/>
    <w:rsid w:val="000449EE"/>
    <w:rsid w:val="00044DC5"/>
    <w:rsid w:val="00044E39"/>
    <w:rsid w:val="00044E9B"/>
    <w:rsid w:val="00045100"/>
    <w:rsid w:val="00045144"/>
    <w:rsid w:val="000456C4"/>
    <w:rsid w:val="00045AAF"/>
    <w:rsid w:val="0004629D"/>
    <w:rsid w:val="00046EBB"/>
    <w:rsid w:val="00046EF4"/>
    <w:rsid w:val="000500BF"/>
    <w:rsid w:val="00050D0C"/>
    <w:rsid w:val="00050F52"/>
    <w:rsid w:val="00050FDB"/>
    <w:rsid w:val="000514A3"/>
    <w:rsid w:val="00051609"/>
    <w:rsid w:val="0005191D"/>
    <w:rsid w:val="00051B63"/>
    <w:rsid w:val="00051F9C"/>
    <w:rsid w:val="000523EA"/>
    <w:rsid w:val="00052EA1"/>
    <w:rsid w:val="00054646"/>
    <w:rsid w:val="00054A12"/>
    <w:rsid w:val="0005505B"/>
    <w:rsid w:val="00055373"/>
    <w:rsid w:val="00056593"/>
    <w:rsid w:val="00056A8D"/>
    <w:rsid w:val="00056CDB"/>
    <w:rsid w:val="000571BA"/>
    <w:rsid w:val="00057458"/>
    <w:rsid w:val="00057919"/>
    <w:rsid w:val="00060346"/>
    <w:rsid w:val="000606B9"/>
    <w:rsid w:val="000606D1"/>
    <w:rsid w:val="00060A38"/>
    <w:rsid w:val="00060AB9"/>
    <w:rsid w:val="000612C9"/>
    <w:rsid w:val="0006141B"/>
    <w:rsid w:val="00061493"/>
    <w:rsid w:val="000616A1"/>
    <w:rsid w:val="00061AF2"/>
    <w:rsid w:val="0006201E"/>
    <w:rsid w:val="00062CCF"/>
    <w:rsid w:val="00064C25"/>
    <w:rsid w:val="00064FA9"/>
    <w:rsid w:val="00065098"/>
    <w:rsid w:val="00065354"/>
    <w:rsid w:val="00065883"/>
    <w:rsid w:val="00065CC3"/>
    <w:rsid w:val="00066025"/>
    <w:rsid w:val="00066176"/>
    <w:rsid w:val="00066446"/>
    <w:rsid w:val="00066B92"/>
    <w:rsid w:val="00066BEA"/>
    <w:rsid w:val="00067BC4"/>
    <w:rsid w:val="00070382"/>
    <w:rsid w:val="00070699"/>
    <w:rsid w:val="00071B65"/>
    <w:rsid w:val="00072656"/>
    <w:rsid w:val="00072C14"/>
    <w:rsid w:val="00072FBD"/>
    <w:rsid w:val="00073304"/>
    <w:rsid w:val="000736D6"/>
    <w:rsid w:val="000740E6"/>
    <w:rsid w:val="00074380"/>
    <w:rsid w:val="00074614"/>
    <w:rsid w:val="000748E5"/>
    <w:rsid w:val="00074AEE"/>
    <w:rsid w:val="000751DE"/>
    <w:rsid w:val="000756E3"/>
    <w:rsid w:val="000760B9"/>
    <w:rsid w:val="00076F94"/>
    <w:rsid w:val="00077C3F"/>
    <w:rsid w:val="00077CAA"/>
    <w:rsid w:val="00080318"/>
    <w:rsid w:val="0008034D"/>
    <w:rsid w:val="00080685"/>
    <w:rsid w:val="00080B88"/>
    <w:rsid w:val="00080C2A"/>
    <w:rsid w:val="00080F16"/>
    <w:rsid w:val="000815CC"/>
    <w:rsid w:val="00081A30"/>
    <w:rsid w:val="00081C92"/>
    <w:rsid w:val="00081FC3"/>
    <w:rsid w:val="000826D7"/>
    <w:rsid w:val="00082790"/>
    <w:rsid w:val="00082DC7"/>
    <w:rsid w:val="00083203"/>
    <w:rsid w:val="00083549"/>
    <w:rsid w:val="00083557"/>
    <w:rsid w:val="0008381F"/>
    <w:rsid w:val="000840CF"/>
    <w:rsid w:val="000841D3"/>
    <w:rsid w:val="00084672"/>
    <w:rsid w:val="000846DC"/>
    <w:rsid w:val="0008474E"/>
    <w:rsid w:val="0008493F"/>
    <w:rsid w:val="00084B06"/>
    <w:rsid w:val="00084DCC"/>
    <w:rsid w:val="00085AD5"/>
    <w:rsid w:val="00085F94"/>
    <w:rsid w:val="000861D1"/>
    <w:rsid w:val="000863D2"/>
    <w:rsid w:val="0008656B"/>
    <w:rsid w:val="00086E4E"/>
    <w:rsid w:val="000873A6"/>
    <w:rsid w:val="000874E9"/>
    <w:rsid w:val="0008755E"/>
    <w:rsid w:val="00087574"/>
    <w:rsid w:val="000875CF"/>
    <w:rsid w:val="00087622"/>
    <w:rsid w:val="0009000C"/>
    <w:rsid w:val="000903B5"/>
    <w:rsid w:val="0009097C"/>
    <w:rsid w:val="00090F96"/>
    <w:rsid w:val="0009107D"/>
    <w:rsid w:val="00091477"/>
    <w:rsid w:val="00091833"/>
    <w:rsid w:val="00091AE2"/>
    <w:rsid w:val="00091C17"/>
    <w:rsid w:val="000924E6"/>
    <w:rsid w:val="00092AB2"/>
    <w:rsid w:val="00092EB6"/>
    <w:rsid w:val="0009342C"/>
    <w:rsid w:val="00093582"/>
    <w:rsid w:val="00093589"/>
    <w:rsid w:val="00093600"/>
    <w:rsid w:val="00093649"/>
    <w:rsid w:val="0009379F"/>
    <w:rsid w:val="00093891"/>
    <w:rsid w:val="00093B38"/>
    <w:rsid w:val="00095217"/>
    <w:rsid w:val="000952EC"/>
    <w:rsid w:val="0009573B"/>
    <w:rsid w:val="00095806"/>
    <w:rsid w:val="00095B9D"/>
    <w:rsid w:val="00095BBF"/>
    <w:rsid w:val="00096917"/>
    <w:rsid w:val="0009722C"/>
    <w:rsid w:val="000979EC"/>
    <w:rsid w:val="00097C04"/>
    <w:rsid w:val="000A01B9"/>
    <w:rsid w:val="000A053A"/>
    <w:rsid w:val="000A0D39"/>
    <w:rsid w:val="000A143B"/>
    <w:rsid w:val="000A1572"/>
    <w:rsid w:val="000A187A"/>
    <w:rsid w:val="000A2351"/>
    <w:rsid w:val="000A253B"/>
    <w:rsid w:val="000A2849"/>
    <w:rsid w:val="000A2AEA"/>
    <w:rsid w:val="000A2D9F"/>
    <w:rsid w:val="000A36BD"/>
    <w:rsid w:val="000A3C6F"/>
    <w:rsid w:val="000A4835"/>
    <w:rsid w:val="000A496A"/>
    <w:rsid w:val="000A4E3D"/>
    <w:rsid w:val="000A53E3"/>
    <w:rsid w:val="000A57F0"/>
    <w:rsid w:val="000A5A49"/>
    <w:rsid w:val="000A5D6B"/>
    <w:rsid w:val="000A5E84"/>
    <w:rsid w:val="000A5F4A"/>
    <w:rsid w:val="000A6045"/>
    <w:rsid w:val="000A618F"/>
    <w:rsid w:val="000A742B"/>
    <w:rsid w:val="000A7548"/>
    <w:rsid w:val="000A7B66"/>
    <w:rsid w:val="000A7BDB"/>
    <w:rsid w:val="000A7EFD"/>
    <w:rsid w:val="000A7FB0"/>
    <w:rsid w:val="000B0904"/>
    <w:rsid w:val="000B0CAD"/>
    <w:rsid w:val="000B1154"/>
    <w:rsid w:val="000B15FD"/>
    <w:rsid w:val="000B1832"/>
    <w:rsid w:val="000B1EFE"/>
    <w:rsid w:val="000B20FB"/>
    <w:rsid w:val="000B21A5"/>
    <w:rsid w:val="000B21B7"/>
    <w:rsid w:val="000B28E1"/>
    <w:rsid w:val="000B2AB9"/>
    <w:rsid w:val="000B2CEC"/>
    <w:rsid w:val="000B2F19"/>
    <w:rsid w:val="000B3079"/>
    <w:rsid w:val="000B35F8"/>
    <w:rsid w:val="000B3946"/>
    <w:rsid w:val="000B39D0"/>
    <w:rsid w:val="000B3A81"/>
    <w:rsid w:val="000B3E44"/>
    <w:rsid w:val="000B4515"/>
    <w:rsid w:val="000B46F6"/>
    <w:rsid w:val="000B571E"/>
    <w:rsid w:val="000B5A24"/>
    <w:rsid w:val="000B6468"/>
    <w:rsid w:val="000B65C7"/>
    <w:rsid w:val="000B7612"/>
    <w:rsid w:val="000B765A"/>
    <w:rsid w:val="000C00EA"/>
    <w:rsid w:val="000C0219"/>
    <w:rsid w:val="000C0893"/>
    <w:rsid w:val="000C1668"/>
    <w:rsid w:val="000C19D4"/>
    <w:rsid w:val="000C2074"/>
    <w:rsid w:val="000C22C2"/>
    <w:rsid w:val="000C2996"/>
    <w:rsid w:val="000C2C59"/>
    <w:rsid w:val="000C312E"/>
    <w:rsid w:val="000C380D"/>
    <w:rsid w:val="000C3B63"/>
    <w:rsid w:val="000C498F"/>
    <w:rsid w:val="000C52AF"/>
    <w:rsid w:val="000C53B0"/>
    <w:rsid w:val="000C5485"/>
    <w:rsid w:val="000C5658"/>
    <w:rsid w:val="000C5FF6"/>
    <w:rsid w:val="000C628E"/>
    <w:rsid w:val="000C640E"/>
    <w:rsid w:val="000C66AE"/>
    <w:rsid w:val="000C7322"/>
    <w:rsid w:val="000C77E0"/>
    <w:rsid w:val="000C7834"/>
    <w:rsid w:val="000C7F25"/>
    <w:rsid w:val="000D096B"/>
    <w:rsid w:val="000D0AEE"/>
    <w:rsid w:val="000D13EA"/>
    <w:rsid w:val="000D1BEA"/>
    <w:rsid w:val="000D1E64"/>
    <w:rsid w:val="000D240E"/>
    <w:rsid w:val="000D29A0"/>
    <w:rsid w:val="000D2BE0"/>
    <w:rsid w:val="000D2CAA"/>
    <w:rsid w:val="000D2FF0"/>
    <w:rsid w:val="000D3212"/>
    <w:rsid w:val="000D33E9"/>
    <w:rsid w:val="000D3B84"/>
    <w:rsid w:val="000D3F86"/>
    <w:rsid w:val="000D4455"/>
    <w:rsid w:val="000D4D11"/>
    <w:rsid w:val="000D4E85"/>
    <w:rsid w:val="000D5941"/>
    <w:rsid w:val="000D5E3A"/>
    <w:rsid w:val="000D6374"/>
    <w:rsid w:val="000D653A"/>
    <w:rsid w:val="000D662B"/>
    <w:rsid w:val="000D679E"/>
    <w:rsid w:val="000D6B8B"/>
    <w:rsid w:val="000D7E77"/>
    <w:rsid w:val="000E02D2"/>
    <w:rsid w:val="000E049A"/>
    <w:rsid w:val="000E0539"/>
    <w:rsid w:val="000E0F9F"/>
    <w:rsid w:val="000E2224"/>
    <w:rsid w:val="000E2437"/>
    <w:rsid w:val="000E2BBD"/>
    <w:rsid w:val="000E301B"/>
    <w:rsid w:val="000E3421"/>
    <w:rsid w:val="000E3697"/>
    <w:rsid w:val="000E3CF8"/>
    <w:rsid w:val="000E3FA0"/>
    <w:rsid w:val="000E4187"/>
    <w:rsid w:val="000E423C"/>
    <w:rsid w:val="000E5A3F"/>
    <w:rsid w:val="000E605B"/>
    <w:rsid w:val="000E62A1"/>
    <w:rsid w:val="000E63B3"/>
    <w:rsid w:val="000E6DA5"/>
    <w:rsid w:val="000E72F0"/>
    <w:rsid w:val="000E7577"/>
    <w:rsid w:val="000E75D5"/>
    <w:rsid w:val="000E79EF"/>
    <w:rsid w:val="000F02F0"/>
    <w:rsid w:val="000F04D4"/>
    <w:rsid w:val="000F083C"/>
    <w:rsid w:val="000F0AB2"/>
    <w:rsid w:val="000F0B69"/>
    <w:rsid w:val="000F0C97"/>
    <w:rsid w:val="000F1506"/>
    <w:rsid w:val="000F2D82"/>
    <w:rsid w:val="000F327F"/>
    <w:rsid w:val="000F3678"/>
    <w:rsid w:val="000F3B0A"/>
    <w:rsid w:val="000F3FE8"/>
    <w:rsid w:val="000F442B"/>
    <w:rsid w:val="000F4685"/>
    <w:rsid w:val="000F4769"/>
    <w:rsid w:val="000F48C7"/>
    <w:rsid w:val="000F4C3E"/>
    <w:rsid w:val="000F4EBE"/>
    <w:rsid w:val="000F4EEF"/>
    <w:rsid w:val="000F4EF4"/>
    <w:rsid w:val="000F506C"/>
    <w:rsid w:val="000F518C"/>
    <w:rsid w:val="000F5A1A"/>
    <w:rsid w:val="000F6297"/>
    <w:rsid w:val="000F62CF"/>
    <w:rsid w:val="000F640B"/>
    <w:rsid w:val="000F6636"/>
    <w:rsid w:val="000F674D"/>
    <w:rsid w:val="000F6836"/>
    <w:rsid w:val="000F6A46"/>
    <w:rsid w:val="000F780C"/>
    <w:rsid w:val="000F79C3"/>
    <w:rsid w:val="000F7CDC"/>
    <w:rsid w:val="000F7E85"/>
    <w:rsid w:val="00100B2B"/>
    <w:rsid w:val="001012CA"/>
    <w:rsid w:val="001013AD"/>
    <w:rsid w:val="001020B5"/>
    <w:rsid w:val="001025A0"/>
    <w:rsid w:val="00102ACA"/>
    <w:rsid w:val="00102CB6"/>
    <w:rsid w:val="0010314C"/>
    <w:rsid w:val="001036D0"/>
    <w:rsid w:val="0010398F"/>
    <w:rsid w:val="00103F09"/>
    <w:rsid w:val="00103F4A"/>
    <w:rsid w:val="00104754"/>
    <w:rsid w:val="00104BFB"/>
    <w:rsid w:val="00104C80"/>
    <w:rsid w:val="00105396"/>
    <w:rsid w:val="001055C7"/>
    <w:rsid w:val="00105A81"/>
    <w:rsid w:val="001060AF"/>
    <w:rsid w:val="001060FA"/>
    <w:rsid w:val="00106C6E"/>
    <w:rsid w:val="001076DB"/>
    <w:rsid w:val="001078DB"/>
    <w:rsid w:val="00107AFE"/>
    <w:rsid w:val="00107D67"/>
    <w:rsid w:val="00107E89"/>
    <w:rsid w:val="00110278"/>
    <w:rsid w:val="001106EE"/>
    <w:rsid w:val="00110EEE"/>
    <w:rsid w:val="00110EF9"/>
    <w:rsid w:val="0011152E"/>
    <w:rsid w:val="0011166C"/>
    <w:rsid w:val="00111BF9"/>
    <w:rsid w:val="001121FF"/>
    <w:rsid w:val="001123A8"/>
    <w:rsid w:val="00112452"/>
    <w:rsid w:val="0011253A"/>
    <w:rsid w:val="00112BC3"/>
    <w:rsid w:val="00112C9C"/>
    <w:rsid w:val="00112F42"/>
    <w:rsid w:val="0011391E"/>
    <w:rsid w:val="00113A25"/>
    <w:rsid w:val="00113D09"/>
    <w:rsid w:val="001140DA"/>
    <w:rsid w:val="00114845"/>
    <w:rsid w:val="001148B5"/>
    <w:rsid w:val="001151E6"/>
    <w:rsid w:val="001154CA"/>
    <w:rsid w:val="00115658"/>
    <w:rsid w:val="001157BD"/>
    <w:rsid w:val="0011595B"/>
    <w:rsid w:val="00116257"/>
    <w:rsid w:val="00117DB6"/>
    <w:rsid w:val="00117E9A"/>
    <w:rsid w:val="0012121C"/>
    <w:rsid w:val="001213B5"/>
    <w:rsid w:val="001215A1"/>
    <w:rsid w:val="001216EF"/>
    <w:rsid w:val="00121842"/>
    <w:rsid w:val="00121DB1"/>
    <w:rsid w:val="00122212"/>
    <w:rsid w:val="001223C7"/>
    <w:rsid w:val="00122856"/>
    <w:rsid w:val="00123143"/>
    <w:rsid w:val="00123515"/>
    <w:rsid w:val="00123608"/>
    <w:rsid w:val="00124292"/>
    <w:rsid w:val="001247B9"/>
    <w:rsid w:val="00124ADF"/>
    <w:rsid w:val="001251C4"/>
    <w:rsid w:val="00125209"/>
    <w:rsid w:val="00125752"/>
    <w:rsid w:val="00125A91"/>
    <w:rsid w:val="00125DA1"/>
    <w:rsid w:val="00126125"/>
    <w:rsid w:val="00126250"/>
    <w:rsid w:val="00126574"/>
    <w:rsid w:val="00126965"/>
    <w:rsid w:val="0012751E"/>
    <w:rsid w:val="00127590"/>
    <w:rsid w:val="001279FA"/>
    <w:rsid w:val="00130E66"/>
    <w:rsid w:val="0013184C"/>
    <w:rsid w:val="00131C37"/>
    <w:rsid w:val="00131C7B"/>
    <w:rsid w:val="00131E2A"/>
    <w:rsid w:val="00131F9C"/>
    <w:rsid w:val="001325C0"/>
    <w:rsid w:val="0013275B"/>
    <w:rsid w:val="001328CC"/>
    <w:rsid w:val="00132B30"/>
    <w:rsid w:val="00132EDB"/>
    <w:rsid w:val="00132FB2"/>
    <w:rsid w:val="001334D1"/>
    <w:rsid w:val="00133D51"/>
    <w:rsid w:val="00134172"/>
    <w:rsid w:val="001344DA"/>
    <w:rsid w:val="00134D70"/>
    <w:rsid w:val="0013507A"/>
    <w:rsid w:val="0013518E"/>
    <w:rsid w:val="00135248"/>
    <w:rsid w:val="00135491"/>
    <w:rsid w:val="0013549A"/>
    <w:rsid w:val="00135973"/>
    <w:rsid w:val="00135C50"/>
    <w:rsid w:val="00136062"/>
    <w:rsid w:val="001367A9"/>
    <w:rsid w:val="0013690C"/>
    <w:rsid w:val="00136EA6"/>
    <w:rsid w:val="00137A1E"/>
    <w:rsid w:val="00137CB6"/>
    <w:rsid w:val="00137DF5"/>
    <w:rsid w:val="00137E91"/>
    <w:rsid w:val="00140B23"/>
    <w:rsid w:val="00140D6D"/>
    <w:rsid w:val="00141202"/>
    <w:rsid w:val="00141759"/>
    <w:rsid w:val="0014177A"/>
    <w:rsid w:val="0014179F"/>
    <w:rsid w:val="00141D11"/>
    <w:rsid w:val="001422C3"/>
    <w:rsid w:val="00142304"/>
    <w:rsid w:val="0014259B"/>
    <w:rsid w:val="001425A5"/>
    <w:rsid w:val="00143454"/>
    <w:rsid w:val="001435E3"/>
    <w:rsid w:val="001436C4"/>
    <w:rsid w:val="001438A0"/>
    <w:rsid w:val="001438B1"/>
    <w:rsid w:val="001438BD"/>
    <w:rsid w:val="00143F19"/>
    <w:rsid w:val="00143FF7"/>
    <w:rsid w:val="001440AD"/>
    <w:rsid w:val="00144871"/>
    <w:rsid w:val="0014498B"/>
    <w:rsid w:val="00144FB3"/>
    <w:rsid w:val="00145181"/>
    <w:rsid w:val="00145224"/>
    <w:rsid w:val="001452E2"/>
    <w:rsid w:val="00145D00"/>
    <w:rsid w:val="00145EC4"/>
    <w:rsid w:val="0014634D"/>
    <w:rsid w:val="001465F1"/>
    <w:rsid w:val="00146B63"/>
    <w:rsid w:val="00146C1A"/>
    <w:rsid w:val="00146CE1"/>
    <w:rsid w:val="00147ADC"/>
    <w:rsid w:val="00147BB7"/>
    <w:rsid w:val="001507C7"/>
    <w:rsid w:val="00150AD4"/>
    <w:rsid w:val="00150D2C"/>
    <w:rsid w:val="00151008"/>
    <w:rsid w:val="0015106B"/>
    <w:rsid w:val="0015182D"/>
    <w:rsid w:val="00151BA8"/>
    <w:rsid w:val="0015289D"/>
    <w:rsid w:val="00152A38"/>
    <w:rsid w:val="00152FE9"/>
    <w:rsid w:val="0015305B"/>
    <w:rsid w:val="001530C4"/>
    <w:rsid w:val="00153131"/>
    <w:rsid w:val="00153467"/>
    <w:rsid w:val="0015376F"/>
    <w:rsid w:val="001537FC"/>
    <w:rsid w:val="001538CA"/>
    <w:rsid w:val="00153B02"/>
    <w:rsid w:val="00153E6C"/>
    <w:rsid w:val="00153EAD"/>
    <w:rsid w:val="00154461"/>
    <w:rsid w:val="00154956"/>
    <w:rsid w:val="00154AE2"/>
    <w:rsid w:val="00155147"/>
    <w:rsid w:val="00155F70"/>
    <w:rsid w:val="00156F09"/>
    <w:rsid w:val="00156F0B"/>
    <w:rsid w:val="001572EB"/>
    <w:rsid w:val="001575F3"/>
    <w:rsid w:val="00157E22"/>
    <w:rsid w:val="0016023C"/>
    <w:rsid w:val="001605EC"/>
    <w:rsid w:val="00160660"/>
    <w:rsid w:val="0016090C"/>
    <w:rsid w:val="00160D5A"/>
    <w:rsid w:val="00160E51"/>
    <w:rsid w:val="00160E65"/>
    <w:rsid w:val="00161518"/>
    <w:rsid w:val="00161591"/>
    <w:rsid w:val="00161B09"/>
    <w:rsid w:val="00161D27"/>
    <w:rsid w:val="00162015"/>
    <w:rsid w:val="00162105"/>
    <w:rsid w:val="00162F1A"/>
    <w:rsid w:val="00162F34"/>
    <w:rsid w:val="00163170"/>
    <w:rsid w:val="001644A2"/>
    <w:rsid w:val="00164848"/>
    <w:rsid w:val="00164A7C"/>
    <w:rsid w:val="00164BBD"/>
    <w:rsid w:val="00164BFD"/>
    <w:rsid w:val="001652A8"/>
    <w:rsid w:val="001654F1"/>
    <w:rsid w:val="0016562A"/>
    <w:rsid w:val="00165965"/>
    <w:rsid w:val="00165E25"/>
    <w:rsid w:val="00166813"/>
    <w:rsid w:val="00166A86"/>
    <w:rsid w:val="00167113"/>
    <w:rsid w:val="0016758E"/>
    <w:rsid w:val="00167613"/>
    <w:rsid w:val="00167660"/>
    <w:rsid w:val="001677CF"/>
    <w:rsid w:val="00167FCD"/>
    <w:rsid w:val="001711B8"/>
    <w:rsid w:val="001712E6"/>
    <w:rsid w:val="0017135C"/>
    <w:rsid w:val="00171C9E"/>
    <w:rsid w:val="0017246D"/>
    <w:rsid w:val="0017256D"/>
    <w:rsid w:val="001729A8"/>
    <w:rsid w:val="0017319D"/>
    <w:rsid w:val="00173A08"/>
    <w:rsid w:val="00173E2A"/>
    <w:rsid w:val="00174F1E"/>
    <w:rsid w:val="00175359"/>
    <w:rsid w:val="00175571"/>
    <w:rsid w:val="0017639D"/>
    <w:rsid w:val="00176AE4"/>
    <w:rsid w:val="00176BB6"/>
    <w:rsid w:val="00177100"/>
    <w:rsid w:val="00177804"/>
    <w:rsid w:val="00177F24"/>
    <w:rsid w:val="00180619"/>
    <w:rsid w:val="00180B0F"/>
    <w:rsid w:val="00180C86"/>
    <w:rsid w:val="001816FC"/>
    <w:rsid w:val="00181928"/>
    <w:rsid w:val="00181A92"/>
    <w:rsid w:val="00181C49"/>
    <w:rsid w:val="00181E5F"/>
    <w:rsid w:val="00182008"/>
    <w:rsid w:val="00182294"/>
    <w:rsid w:val="00182345"/>
    <w:rsid w:val="001823E4"/>
    <w:rsid w:val="001823F4"/>
    <w:rsid w:val="00182A79"/>
    <w:rsid w:val="00182C76"/>
    <w:rsid w:val="00182FCA"/>
    <w:rsid w:val="00183054"/>
    <w:rsid w:val="00183436"/>
    <w:rsid w:val="0018371B"/>
    <w:rsid w:val="0018376E"/>
    <w:rsid w:val="00183E4A"/>
    <w:rsid w:val="00183E61"/>
    <w:rsid w:val="001848C9"/>
    <w:rsid w:val="00184CFB"/>
    <w:rsid w:val="00184E4C"/>
    <w:rsid w:val="001850A0"/>
    <w:rsid w:val="0018547A"/>
    <w:rsid w:val="001858F9"/>
    <w:rsid w:val="00185AF2"/>
    <w:rsid w:val="00185CB5"/>
    <w:rsid w:val="00185DBF"/>
    <w:rsid w:val="00185F19"/>
    <w:rsid w:val="001863A7"/>
    <w:rsid w:val="00186705"/>
    <w:rsid w:val="001869F1"/>
    <w:rsid w:val="001870EC"/>
    <w:rsid w:val="0018750A"/>
    <w:rsid w:val="00187B20"/>
    <w:rsid w:val="0019003C"/>
    <w:rsid w:val="00190606"/>
    <w:rsid w:val="0019074D"/>
    <w:rsid w:val="0019099F"/>
    <w:rsid w:val="00191759"/>
    <w:rsid w:val="00191D51"/>
    <w:rsid w:val="00191F10"/>
    <w:rsid w:val="00191FB1"/>
    <w:rsid w:val="001922CE"/>
    <w:rsid w:val="00192422"/>
    <w:rsid w:val="00192A0C"/>
    <w:rsid w:val="00192B0F"/>
    <w:rsid w:val="00192D04"/>
    <w:rsid w:val="00192DE1"/>
    <w:rsid w:val="00194533"/>
    <w:rsid w:val="00194B88"/>
    <w:rsid w:val="00194BBE"/>
    <w:rsid w:val="00195539"/>
    <w:rsid w:val="00195B43"/>
    <w:rsid w:val="00195C4C"/>
    <w:rsid w:val="00195CF0"/>
    <w:rsid w:val="00196098"/>
    <w:rsid w:val="00196259"/>
    <w:rsid w:val="0019646B"/>
    <w:rsid w:val="00196833"/>
    <w:rsid w:val="0019683F"/>
    <w:rsid w:val="00197081"/>
    <w:rsid w:val="001972DE"/>
    <w:rsid w:val="00197AED"/>
    <w:rsid w:val="001A00D9"/>
    <w:rsid w:val="001A03AD"/>
    <w:rsid w:val="001A0A3D"/>
    <w:rsid w:val="001A1138"/>
    <w:rsid w:val="001A1932"/>
    <w:rsid w:val="001A1BC7"/>
    <w:rsid w:val="001A1E8E"/>
    <w:rsid w:val="001A33D1"/>
    <w:rsid w:val="001A36E7"/>
    <w:rsid w:val="001A3921"/>
    <w:rsid w:val="001A3A68"/>
    <w:rsid w:val="001A4141"/>
    <w:rsid w:val="001A45F7"/>
    <w:rsid w:val="001A5240"/>
    <w:rsid w:val="001A52C6"/>
    <w:rsid w:val="001A5598"/>
    <w:rsid w:val="001A5F3C"/>
    <w:rsid w:val="001A6425"/>
    <w:rsid w:val="001A6E82"/>
    <w:rsid w:val="001A710F"/>
    <w:rsid w:val="001A7285"/>
    <w:rsid w:val="001A75D1"/>
    <w:rsid w:val="001A76D3"/>
    <w:rsid w:val="001A788E"/>
    <w:rsid w:val="001A792C"/>
    <w:rsid w:val="001A7C0E"/>
    <w:rsid w:val="001B0249"/>
    <w:rsid w:val="001B0EAE"/>
    <w:rsid w:val="001B168D"/>
    <w:rsid w:val="001B23EF"/>
    <w:rsid w:val="001B2608"/>
    <w:rsid w:val="001B26D9"/>
    <w:rsid w:val="001B2B70"/>
    <w:rsid w:val="001B3393"/>
    <w:rsid w:val="001B34E1"/>
    <w:rsid w:val="001B3BCA"/>
    <w:rsid w:val="001B3C5E"/>
    <w:rsid w:val="001B445E"/>
    <w:rsid w:val="001B46C4"/>
    <w:rsid w:val="001B4E38"/>
    <w:rsid w:val="001B506F"/>
    <w:rsid w:val="001B5573"/>
    <w:rsid w:val="001B57B0"/>
    <w:rsid w:val="001B6051"/>
    <w:rsid w:val="001B6A70"/>
    <w:rsid w:val="001B6C39"/>
    <w:rsid w:val="001B70BE"/>
    <w:rsid w:val="001B7C72"/>
    <w:rsid w:val="001B7CD9"/>
    <w:rsid w:val="001C07CB"/>
    <w:rsid w:val="001C115C"/>
    <w:rsid w:val="001C16DB"/>
    <w:rsid w:val="001C177F"/>
    <w:rsid w:val="001C17DC"/>
    <w:rsid w:val="001C26CC"/>
    <w:rsid w:val="001C283C"/>
    <w:rsid w:val="001C2B77"/>
    <w:rsid w:val="001C2EAD"/>
    <w:rsid w:val="001C2F13"/>
    <w:rsid w:val="001C3458"/>
    <w:rsid w:val="001C376B"/>
    <w:rsid w:val="001C3B3F"/>
    <w:rsid w:val="001C3D03"/>
    <w:rsid w:val="001C3D42"/>
    <w:rsid w:val="001C3EAD"/>
    <w:rsid w:val="001C404E"/>
    <w:rsid w:val="001C4137"/>
    <w:rsid w:val="001C427A"/>
    <w:rsid w:val="001C454E"/>
    <w:rsid w:val="001C4AE2"/>
    <w:rsid w:val="001C5187"/>
    <w:rsid w:val="001C57D7"/>
    <w:rsid w:val="001C633B"/>
    <w:rsid w:val="001C6469"/>
    <w:rsid w:val="001C691C"/>
    <w:rsid w:val="001C6B26"/>
    <w:rsid w:val="001C762B"/>
    <w:rsid w:val="001C78C5"/>
    <w:rsid w:val="001D0057"/>
    <w:rsid w:val="001D0740"/>
    <w:rsid w:val="001D0A27"/>
    <w:rsid w:val="001D0BA0"/>
    <w:rsid w:val="001D1401"/>
    <w:rsid w:val="001D149F"/>
    <w:rsid w:val="001D1838"/>
    <w:rsid w:val="001D1903"/>
    <w:rsid w:val="001D1FE2"/>
    <w:rsid w:val="001D2955"/>
    <w:rsid w:val="001D2B93"/>
    <w:rsid w:val="001D2C83"/>
    <w:rsid w:val="001D2EB4"/>
    <w:rsid w:val="001D31EC"/>
    <w:rsid w:val="001D33DF"/>
    <w:rsid w:val="001D3D24"/>
    <w:rsid w:val="001D3FC8"/>
    <w:rsid w:val="001D483F"/>
    <w:rsid w:val="001D4976"/>
    <w:rsid w:val="001D4A0E"/>
    <w:rsid w:val="001D4CAF"/>
    <w:rsid w:val="001D56F2"/>
    <w:rsid w:val="001D5AE9"/>
    <w:rsid w:val="001D5C4D"/>
    <w:rsid w:val="001D5C8E"/>
    <w:rsid w:val="001D5F40"/>
    <w:rsid w:val="001D5FBE"/>
    <w:rsid w:val="001D6050"/>
    <w:rsid w:val="001D6791"/>
    <w:rsid w:val="001D6FC8"/>
    <w:rsid w:val="001D77E5"/>
    <w:rsid w:val="001D7B9B"/>
    <w:rsid w:val="001D7DE5"/>
    <w:rsid w:val="001D7F9F"/>
    <w:rsid w:val="001E0054"/>
    <w:rsid w:val="001E1166"/>
    <w:rsid w:val="001E19D6"/>
    <w:rsid w:val="001E1CBD"/>
    <w:rsid w:val="001E1CDE"/>
    <w:rsid w:val="001E21C5"/>
    <w:rsid w:val="001E230A"/>
    <w:rsid w:val="001E2B17"/>
    <w:rsid w:val="001E2E52"/>
    <w:rsid w:val="001E2FF0"/>
    <w:rsid w:val="001E3327"/>
    <w:rsid w:val="001E3488"/>
    <w:rsid w:val="001E38A2"/>
    <w:rsid w:val="001E3F85"/>
    <w:rsid w:val="001E3FC8"/>
    <w:rsid w:val="001E4416"/>
    <w:rsid w:val="001E4790"/>
    <w:rsid w:val="001E483D"/>
    <w:rsid w:val="001E4DC0"/>
    <w:rsid w:val="001E4E18"/>
    <w:rsid w:val="001E5431"/>
    <w:rsid w:val="001E5BBA"/>
    <w:rsid w:val="001E5E9D"/>
    <w:rsid w:val="001E5F65"/>
    <w:rsid w:val="001E6BB4"/>
    <w:rsid w:val="001E6BFA"/>
    <w:rsid w:val="001E6C97"/>
    <w:rsid w:val="001E6D5F"/>
    <w:rsid w:val="001E7913"/>
    <w:rsid w:val="001F0270"/>
    <w:rsid w:val="001F0918"/>
    <w:rsid w:val="001F0C69"/>
    <w:rsid w:val="001F0F99"/>
    <w:rsid w:val="001F117A"/>
    <w:rsid w:val="001F12F6"/>
    <w:rsid w:val="001F1A03"/>
    <w:rsid w:val="001F1B5A"/>
    <w:rsid w:val="001F2432"/>
    <w:rsid w:val="001F2569"/>
    <w:rsid w:val="001F256B"/>
    <w:rsid w:val="001F257E"/>
    <w:rsid w:val="001F4360"/>
    <w:rsid w:val="001F4531"/>
    <w:rsid w:val="001F4561"/>
    <w:rsid w:val="001F4C4A"/>
    <w:rsid w:val="001F4D20"/>
    <w:rsid w:val="001F563D"/>
    <w:rsid w:val="001F66C4"/>
    <w:rsid w:val="001F670F"/>
    <w:rsid w:val="001F6EAB"/>
    <w:rsid w:val="001F70A3"/>
    <w:rsid w:val="001F743B"/>
    <w:rsid w:val="001F7455"/>
    <w:rsid w:val="001F76FE"/>
    <w:rsid w:val="001F7BE9"/>
    <w:rsid w:val="00200537"/>
    <w:rsid w:val="00200997"/>
    <w:rsid w:val="0020140E"/>
    <w:rsid w:val="002015D8"/>
    <w:rsid w:val="0020215E"/>
    <w:rsid w:val="00202664"/>
    <w:rsid w:val="002026A6"/>
    <w:rsid w:val="002029E1"/>
    <w:rsid w:val="00202C90"/>
    <w:rsid w:val="0020367B"/>
    <w:rsid w:val="002037DB"/>
    <w:rsid w:val="00203DE6"/>
    <w:rsid w:val="002041F3"/>
    <w:rsid w:val="00206848"/>
    <w:rsid w:val="002069B1"/>
    <w:rsid w:val="0020738C"/>
    <w:rsid w:val="00207CE0"/>
    <w:rsid w:val="0021001B"/>
    <w:rsid w:val="00210307"/>
    <w:rsid w:val="00210D1D"/>
    <w:rsid w:val="00210E11"/>
    <w:rsid w:val="002110F8"/>
    <w:rsid w:val="002115AD"/>
    <w:rsid w:val="002115E6"/>
    <w:rsid w:val="00211CA0"/>
    <w:rsid w:val="00211F24"/>
    <w:rsid w:val="002129B0"/>
    <w:rsid w:val="00212B4C"/>
    <w:rsid w:val="00212E99"/>
    <w:rsid w:val="0021332D"/>
    <w:rsid w:val="0021378B"/>
    <w:rsid w:val="0021410B"/>
    <w:rsid w:val="002144FC"/>
    <w:rsid w:val="00215593"/>
    <w:rsid w:val="002158A0"/>
    <w:rsid w:val="0021594B"/>
    <w:rsid w:val="00215CFB"/>
    <w:rsid w:val="00215EBD"/>
    <w:rsid w:val="002169B0"/>
    <w:rsid w:val="002169F5"/>
    <w:rsid w:val="00216B24"/>
    <w:rsid w:val="00217255"/>
    <w:rsid w:val="0021753B"/>
    <w:rsid w:val="00217559"/>
    <w:rsid w:val="002205EB"/>
    <w:rsid w:val="0022102C"/>
    <w:rsid w:val="00221619"/>
    <w:rsid w:val="0022177C"/>
    <w:rsid w:val="00221906"/>
    <w:rsid w:val="0022199D"/>
    <w:rsid w:val="00221A58"/>
    <w:rsid w:val="002221DC"/>
    <w:rsid w:val="002222AC"/>
    <w:rsid w:val="00222851"/>
    <w:rsid w:val="002228C5"/>
    <w:rsid w:val="00222C0C"/>
    <w:rsid w:val="00222D0D"/>
    <w:rsid w:val="0022331F"/>
    <w:rsid w:val="002236CC"/>
    <w:rsid w:val="002241F2"/>
    <w:rsid w:val="0022484B"/>
    <w:rsid w:val="00224AE0"/>
    <w:rsid w:val="00224D34"/>
    <w:rsid w:val="00224DA8"/>
    <w:rsid w:val="0022509C"/>
    <w:rsid w:val="002254E4"/>
    <w:rsid w:val="0022571A"/>
    <w:rsid w:val="0022580F"/>
    <w:rsid w:val="002258B4"/>
    <w:rsid w:val="0022623B"/>
    <w:rsid w:val="00226C89"/>
    <w:rsid w:val="00226E76"/>
    <w:rsid w:val="00227452"/>
    <w:rsid w:val="002274F6"/>
    <w:rsid w:val="00230096"/>
    <w:rsid w:val="0023078E"/>
    <w:rsid w:val="00230F30"/>
    <w:rsid w:val="00231610"/>
    <w:rsid w:val="002316E5"/>
    <w:rsid w:val="00231CB8"/>
    <w:rsid w:val="00231F1C"/>
    <w:rsid w:val="0023207D"/>
    <w:rsid w:val="00232354"/>
    <w:rsid w:val="00232A09"/>
    <w:rsid w:val="00232A73"/>
    <w:rsid w:val="00233417"/>
    <w:rsid w:val="00233FF2"/>
    <w:rsid w:val="0023449A"/>
    <w:rsid w:val="00234FE3"/>
    <w:rsid w:val="0023508F"/>
    <w:rsid w:val="00235341"/>
    <w:rsid w:val="00235421"/>
    <w:rsid w:val="002354A2"/>
    <w:rsid w:val="0023573D"/>
    <w:rsid w:val="00235AF5"/>
    <w:rsid w:val="00235C8A"/>
    <w:rsid w:val="0023681B"/>
    <w:rsid w:val="00236831"/>
    <w:rsid w:val="00236841"/>
    <w:rsid w:val="002371D0"/>
    <w:rsid w:val="002371F0"/>
    <w:rsid w:val="002372CB"/>
    <w:rsid w:val="002378F5"/>
    <w:rsid w:val="002401E8"/>
    <w:rsid w:val="002404B1"/>
    <w:rsid w:val="00240916"/>
    <w:rsid w:val="002414AC"/>
    <w:rsid w:val="002416A1"/>
    <w:rsid w:val="002416A2"/>
    <w:rsid w:val="0024197C"/>
    <w:rsid w:val="00242969"/>
    <w:rsid w:val="00242982"/>
    <w:rsid w:val="00242BF2"/>
    <w:rsid w:val="00242D87"/>
    <w:rsid w:val="0024304D"/>
    <w:rsid w:val="002431E1"/>
    <w:rsid w:val="002433F3"/>
    <w:rsid w:val="00243867"/>
    <w:rsid w:val="00243B82"/>
    <w:rsid w:val="002442B4"/>
    <w:rsid w:val="002444D1"/>
    <w:rsid w:val="00244528"/>
    <w:rsid w:val="002448AA"/>
    <w:rsid w:val="002449F3"/>
    <w:rsid w:val="00244D99"/>
    <w:rsid w:val="002456B8"/>
    <w:rsid w:val="0024578D"/>
    <w:rsid w:val="0024584B"/>
    <w:rsid w:val="00245E05"/>
    <w:rsid w:val="00245FE5"/>
    <w:rsid w:val="00246162"/>
    <w:rsid w:val="002461F4"/>
    <w:rsid w:val="002466D1"/>
    <w:rsid w:val="00246936"/>
    <w:rsid w:val="00246B68"/>
    <w:rsid w:val="00247A6F"/>
    <w:rsid w:val="002504FC"/>
    <w:rsid w:val="0025064E"/>
    <w:rsid w:val="0025185A"/>
    <w:rsid w:val="00252DF9"/>
    <w:rsid w:val="00253B40"/>
    <w:rsid w:val="00253D42"/>
    <w:rsid w:val="00254A8C"/>
    <w:rsid w:val="00254DBE"/>
    <w:rsid w:val="0025503D"/>
    <w:rsid w:val="002553BA"/>
    <w:rsid w:val="0025585E"/>
    <w:rsid w:val="00255C8B"/>
    <w:rsid w:val="00255F7F"/>
    <w:rsid w:val="00256508"/>
    <w:rsid w:val="002565D6"/>
    <w:rsid w:val="0025682C"/>
    <w:rsid w:val="00256941"/>
    <w:rsid w:val="00256943"/>
    <w:rsid w:val="00256AAB"/>
    <w:rsid w:val="00257A87"/>
    <w:rsid w:val="00257E7C"/>
    <w:rsid w:val="00260786"/>
    <w:rsid w:val="00260D42"/>
    <w:rsid w:val="00261431"/>
    <w:rsid w:val="002614C2"/>
    <w:rsid w:val="0026168D"/>
    <w:rsid w:val="00261719"/>
    <w:rsid w:val="002617F5"/>
    <w:rsid w:val="00261A6C"/>
    <w:rsid w:val="00261A84"/>
    <w:rsid w:val="00261DE8"/>
    <w:rsid w:val="002622AA"/>
    <w:rsid w:val="00262442"/>
    <w:rsid w:val="00262692"/>
    <w:rsid w:val="00262C9C"/>
    <w:rsid w:val="00262D4C"/>
    <w:rsid w:val="0026307E"/>
    <w:rsid w:val="0026314C"/>
    <w:rsid w:val="00263780"/>
    <w:rsid w:val="00263D16"/>
    <w:rsid w:val="00263D1E"/>
    <w:rsid w:val="002643F1"/>
    <w:rsid w:val="0026474E"/>
    <w:rsid w:val="00264C82"/>
    <w:rsid w:val="00264D5B"/>
    <w:rsid w:val="00264D93"/>
    <w:rsid w:val="00264E57"/>
    <w:rsid w:val="00265AA0"/>
    <w:rsid w:val="00265E32"/>
    <w:rsid w:val="00265F1B"/>
    <w:rsid w:val="002662CE"/>
    <w:rsid w:val="002663EE"/>
    <w:rsid w:val="0026681B"/>
    <w:rsid w:val="00266D13"/>
    <w:rsid w:val="00266E24"/>
    <w:rsid w:val="00266F72"/>
    <w:rsid w:val="00266F8C"/>
    <w:rsid w:val="00267D0B"/>
    <w:rsid w:val="00271276"/>
    <w:rsid w:val="002717AF"/>
    <w:rsid w:val="00271B22"/>
    <w:rsid w:val="002723F6"/>
    <w:rsid w:val="00272F7C"/>
    <w:rsid w:val="00273E64"/>
    <w:rsid w:val="00273F07"/>
    <w:rsid w:val="002745F4"/>
    <w:rsid w:val="00274AA6"/>
    <w:rsid w:val="00274DB2"/>
    <w:rsid w:val="00275102"/>
    <w:rsid w:val="00275456"/>
    <w:rsid w:val="002759B2"/>
    <w:rsid w:val="00275B79"/>
    <w:rsid w:val="00276156"/>
    <w:rsid w:val="0027628B"/>
    <w:rsid w:val="00277C99"/>
    <w:rsid w:val="00277D4B"/>
    <w:rsid w:val="002802F5"/>
    <w:rsid w:val="002804B8"/>
    <w:rsid w:val="00280D62"/>
    <w:rsid w:val="00280F6F"/>
    <w:rsid w:val="00281246"/>
    <w:rsid w:val="0028196D"/>
    <w:rsid w:val="00281B44"/>
    <w:rsid w:val="00282273"/>
    <w:rsid w:val="002826A7"/>
    <w:rsid w:val="00282F0F"/>
    <w:rsid w:val="0028394A"/>
    <w:rsid w:val="00283B92"/>
    <w:rsid w:val="00284128"/>
    <w:rsid w:val="002849DA"/>
    <w:rsid w:val="00284F67"/>
    <w:rsid w:val="002850DD"/>
    <w:rsid w:val="002850E5"/>
    <w:rsid w:val="00285256"/>
    <w:rsid w:val="00285731"/>
    <w:rsid w:val="002859D6"/>
    <w:rsid w:val="00285C44"/>
    <w:rsid w:val="00286029"/>
    <w:rsid w:val="00286182"/>
    <w:rsid w:val="002861FE"/>
    <w:rsid w:val="00286C15"/>
    <w:rsid w:val="00287136"/>
    <w:rsid w:val="002873C7"/>
    <w:rsid w:val="00287472"/>
    <w:rsid w:val="00287ADF"/>
    <w:rsid w:val="00290351"/>
    <w:rsid w:val="00290546"/>
    <w:rsid w:val="00291912"/>
    <w:rsid w:val="00291AC9"/>
    <w:rsid w:val="002920F4"/>
    <w:rsid w:val="00292459"/>
    <w:rsid w:val="002925BE"/>
    <w:rsid w:val="00292F23"/>
    <w:rsid w:val="00293144"/>
    <w:rsid w:val="002934AE"/>
    <w:rsid w:val="00293C8C"/>
    <w:rsid w:val="002941B3"/>
    <w:rsid w:val="002944C5"/>
    <w:rsid w:val="002948E7"/>
    <w:rsid w:val="00294F2B"/>
    <w:rsid w:val="00294FF1"/>
    <w:rsid w:val="00295773"/>
    <w:rsid w:val="00295D82"/>
    <w:rsid w:val="00296465"/>
    <w:rsid w:val="002967F8"/>
    <w:rsid w:val="0029734A"/>
    <w:rsid w:val="00297ACC"/>
    <w:rsid w:val="00297F9D"/>
    <w:rsid w:val="002A0D97"/>
    <w:rsid w:val="002A1281"/>
    <w:rsid w:val="002A183E"/>
    <w:rsid w:val="002A184F"/>
    <w:rsid w:val="002A1B5F"/>
    <w:rsid w:val="002A1D1A"/>
    <w:rsid w:val="002A23E7"/>
    <w:rsid w:val="002A2501"/>
    <w:rsid w:val="002A295E"/>
    <w:rsid w:val="002A29A7"/>
    <w:rsid w:val="002A2C05"/>
    <w:rsid w:val="002A2DB1"/>
    <w:rsid w:val="002A2F2D"/>
    <w:rsid w:val="002A315F"/>
    <w:rsid w:val="002A3985"/>
    <w:rsid w:val="002A39C3"/>
    <w:rsid w:val="002A444D"/>
    <w:rsid w:val="002A4538"/>
    <w:rsid w:val="002A4644"/>
    <w:rsid w:val="002A5970"/>
    <w:rsid w:val="002A5B0C"/>
    <w:rsid w:val="002A5D1F"/>
    <w:rsid w:val="002A5E33"/>
    <w:rsid w:val="002A5F76"/>
    <w:rsid w:val="002A6056"/>
    <w:rsid w:val="002A62AD"/>
    <w:rsid w:val="002A63C3"/>
    <w:rsid w:val="002A64F6"/>
    <w:rsid w:val="002A66DD"/>
    <w:rsid w:val="002A71B8"/>
    <w:rsid w:val="002A7923"/>
    <w:rsid w:val="002A7CDC"/>
    <w:rsid w:val="002A7D14"/>
    <w:rsid w:val="002A7F1C"/>
    <w:rsid w:val="002B037D"/>
    <w:rsid w:val="002B0A7E"/>
    <w:rsid w:val="002B0CEF"/>
    <w:rsid w:val="002B0D54"/>
    <w:rsid w:val="002B1368"/>
    <w:rsid w:val="002B13D8"/>
    <w:rsid w:val="002B197E"/>
    <w:rsid w:val="002B1BAE"/>
    <w:rsid w:val="002B20E3"/>
    <w:rsid w:val="002B29FC"/>
    <w:rsid w:val="002B3233"/>
    <w:rsid w:val="002B3291"/>
    <w:rsid w:val="002B34E7"/>
    <w:rsid w:val="002B409C"/>
    <w:rsid w:val="002B421E"/>
    <w:rsid w:val="002B42B4"/>
    <w:rsid w:val="002B4698"/>
    <w:rsid w:val="002B48D4"/>
    <w:rsid w:val="002B5A28"/>
    <w:rsid w:val="002B7111"/>
    <w:rsid w:val="002B7D75"/>
    <w:rsid w:val="002C01D6"/>
    <w:rsid w:val="002C079E"/>
    <w:rsid w:val="002C097D"/>
    <w:rsid w:val="002C0A36"/>
    <w:rsid w:val="002C0C2C"/>
    <w:rsid w:val="002C13F3"/>
    <w:rsid w:val="002C1A95"/>
    <w:rsid w:val="002C1AB2"/>
    <w:rsid w:val="002C1E7D"/>
    <w:rsid w:val="002C2295"/>
    <w:rsid w:val="002C236D"/>
    <w:rsid w:val="002C28AC"/>
    <w:rsid w:val="002C2A08"/>
    <w:rsid w:val="002C301C"/>
    <w:rsid w:val="002C3330"/>
    <w:rsid w:val="002C3662"/>
    <w:rsid w:val="002C3881"/>
    <w:rsid w:val="002C38FD"/>
    <w:rsid w:val="002C3946"/>
    <w:rsid w:val="002C3CB2"/>
    <w:rsid w:val="002C3E86"/>
    <w:rsid w:val="002C423A"/>
    <w:rsid w:val="002C4A76"/>
    <w:rsid w:val="002C4E70"/>
    <w:rsid w:val="002C4EED"/>
    <w:rsid w:val="002C524E"/>
    <w:rsid w:val="002C5B34"/>
    <w:rsid w:val="002C5E5A"/>
    <w:rsid w:val="002C6002"/>
    <w:rsid w:val="002C6989"/>
    <w:rsid w:val="002C7A28"/>
    <w:rsid w:val="002C7B78"/>
    <w:rsid w:val="002D063F"/>
    <w:rsid w:val="002D07EC"/>
    <w:rsid w:val="002D08B8"/>
    <w:rsid w:val="002D0A4C"/>
    <w:rsid w:val="002D0BCF"/>
    <w:rsid w:val="002D0C47"/>
    <w:rsid w:val="002D0CED"/>
    <w:rsid w:val="002D0EAA"/>
    <w:rsid w:val="002D1B78"/>
    <w:rsid w:val="002D25D5"/>
    <w:rsid w:val="002D2927"/>
    <w:rsid w:val="002D2EA6"/>
    <w:rsid w:val="002D2F1D"/>
    <w:rsid w:val="002D2F81"/>
    <w:rsid w:val="002D30D1"/>
    <w:rsid w:val="002D4301"/>
    <w:rsid w:val="002D43E3"/>
    <w:rsid w:val="002D43E4"/>
    <w:rsid w:val="002D47AD"/>
    <w:rsid w:val="002D4972"/>
    <w:rsid w:val="002D4CE0"/>
    <w:rsid w:val="002D511B"/>
    <w:rsid w:val="002D519A"/>
    <w:rsid w:val="002D5D8E"/>
    <w:rsid w:val="002D60AF"/>
    <w:rsid w:val="002D610D"/>
    <w:rsid w:val="002D6422"/>
    <w:rsid w:val="002D67C0"/>
    <w:rsid w:val="002D6989"/>
    <w:rsid w:val="002D6E5E"/>
    <w:rsid w:val="002D736E"/>
    <w:rsid w:val="002D73DA"/>
    <w:rsid w:val="002D7DF2"/>
    <w:rsid w:val="002D7E99"/>
    <w:rsid w:val="002D7F74"/>
    <w:rsid w:val="002E00A3"/>
    <w:rsid w:val="002E0178"/>
    <w:rsid w:val="002E03B5"/>
    <w:rsid w:val="002E0878"/>
    <w:rsid w:val="002E0924"/>
    <w:rsid w:val="002E0B02"/>
    <w:rsid w:val="002E0C49"/>
    <w:rsid w:val="002E0D4F"/>
    <w:rsid w:val="002E0FED"/>
    <w:rsid w:val="002E1545"/>
    <w:rsid w:val="002E231F"/>
    <w:rsid w:val="002E2951"/>
    <w:rsid w:val="002E29F8"/>
    <w:rsid w:val="002E2BB9"/>
    <w:rsid w:val="002E2C09"/>
    <w:rsid w:val="002E3269"/>
    <w:rsid w:val="002E37CA"/>
    <w:rsid w:val="002E3FA9"/>
    <w:rsid w:val="002E462D"/>
    <w:rsid w:val="002E491F"/>
    <w:rsid w:val="002E4A23"/>
    <w:rsid w:val="002E4D6B"/>
    <w:rsid w:val="002E5C0B"/>
    <w:rsid w:val="002E6176"/>
    <w:rsid w:val="002E6837"/>
    <w:rsid w:val="002E6965"/>
    <w:rsid w:val="002E69F3"/>
    <w:rsid w:val="002E74AE"/>
    <w:rsid w:val="002E7DA5"/>
    <w:rsid w:val="002E7E97"/>
    <w:rsid w:val="002F01AD"/>
    <w:rsid w:val="002F0966"/>
    <w:rsid w:val="002F1128"/>
    <w:rsid w:val="002F141B"/>
    <w:rsid w:val="002F1787"/>
    <w:rsid w:val="002F1BE2"/>
    <w:rsid w:val="002F23AE"/>
    <w:rsid w:val="002F26A8"/>
    <w:rsid w:val="002F27B7"/>
    <w:rsid w:val="002F27C2"/>
    <w:rsid w:val="002F2B15"/>
    <w:rsid w:val="002F2C2E"/>
    <w:rsid w:val="002F2F58"/>
    <w:rsid w:val="002F3550"/>
    <w:rsid w:val="002F3FFF"/>
    <w:rsid w:val="002F4094"/>
    <w:rsid w:val="002F4681"/>
    <w:rsid w:val="002F49ED"/>
    <w:rsid w:val="002F4C27"/>
    <w:rsid w:val="002F5071"/>
    <w:rsid w:val="002F580C"/>
    <w:rsid w:val="002F58B5"/>
    <w:rsid w:val="002F5968"/>
    <w:rsid w:val="002F59E6"/>
    <w:rsid w:val="002F62A5"/>
    <w:rsid w:val="002F64CB"/>
    <w:rsid w:val="002F719B"/>
    <w:rsid w:val="002F7531"/>
    <w:rsid w:val="002F76B1"/>
    <w:rsid w:val="002F7717"/>
    <w:rsid w:val="00300193"/>
    <w:rsid w:val="003005D5"/>
    <w:rsid w:val="00300667"/>
    <w:rsid w:val="003006CA"/>
    <w:rsid w:val="003007AB"/>
    <w:rsid w:val="003018C6"/>
    <w:rsid w:val="003025E2"/>
    <w:rsid w:val="00302CDB"/>
    <w:rsid w:val="00303108"/>
    <w:rsid w:val="003038A3"/>
    <w:rsid w:val="00303C5C"/>
    <w:rsid w:val="00303E5C"/>
    <w:rsid w:val="003042BC"/>
    <w:rsid w:val="003057DE"/>
    <w:rsid w:val="003058D0"/>
    <w:rsid w:val="00305ED3"/>
    <w:rsid w:val="00305FB9"/>
    <w:rsid w:val="003066B1"/>
    <w:rsid w:val="003069ED"/>
    <w:rsid w:val="00306BC4"/>
    <w:rsid w:val="003070DF"/>
    <w:rsid w:val="003070E5"/>
    <w:rsid w:val="003071C0"/>
    <w:rsid w:val="00307347"/>
    <w:rsid w:val="00307551"/>
    <w:rsid w:val="0030756B"/>
    <w:rsid w:val="003076C3"/>
    <w:rsid w:val="003078CE"/>
    <w:rsid w:val="0031035B"/>
    <w:rsid w:val="00310B5D"/>
    <w:rsid w:val="00310E22"/>
    <w:rsid w:val="0031118F"/>
    <w:rsid w:val="00311ECB"/>
    <w:rsid w:val="00312087"/>
    <w:rsid w:val="0031209E"/>
    <w:rsid w:val="003122DA"/>
    <w:rsid w:val="00312378"/>
    <w:rsid w:val="00312478"/>
    <w:rsid w:val="00313299"/>
    <w:rsid w:val="00313C7C"/>
    <w:rsid w:val="00313E44"/>
    <w:rsid w:val="003142CA"/>
    <w:rsid w:val="00314CEB"/>
    <w:rsid w:val="00314E85"/>
    <w:rsid w:val="003152DD"/>
    <w:rsid w:val="003155AB"/>
    <w:rsid w:val="00315718"/>
    <w:rsid w:val="0031579D"/>
    <w:rsid w:val="003157A9"/>
    <w:rsid w:val="00315F7E"/>
    <w:rsid w:val="0031676E"/>
    <w:rsid w:val="003168D7"/>
    <w:rsid w:val="0031690B"/>
    <w:rsid w:val="00316BB2"/>
    <w:rsid w:val="00316D82"/>
    <w:rsid w:val="00317449"/>
    <w:rsid w:val="00317685"/>
    <w:rsid w:val="00317BEC"/>
    <w:rsid w:val="00317BFC"/>
    <w:rsid w:val="00317D7D"/>
    <w:rsid w:val="00320072"/>
    <w:rsid w:val="003207AD"/>
    <w:rsid w:val="0032091E"/>
    <w:rsid w:val="00320976"/>
    <w:rsid w:val="00320BAF"/>
    <w:rsid w:val="00320E8C"/>
    <w:rsid w:val="0032162C"/>
    <w:rsid w:val="003218DE"/>
    <w:rsid w:val="00321A06"/>
    <w:rsid w:val="00321B1B"/>
    <w:rsid w:val="00322198"/>
    <w:rsid w:val="0032230F"/>
    <w:rsid w:val="003223B1"/>
    <w:rsid w:val="00322693"/>
    <w:rsid w:val="00322E74"/>
    <w:rsid w:val="0032312D"/>
    <w:rsid w:val="00323600"/>
    <w:rsid w:val="00323664"/>
    <w:rsid w:val="0032369C"/>
    <w:rsid w:val="00323C1D"/>
    <w:rsid w:val="00323CA1"/>
    <w:rsid w:val="003240B5"/>
    <w:rsid w:val="00324A0C"/>
    <w:rsid w:val="00324DB9"/>
    <w:rsid w:val="00325566"/>
    <w:rsid w:val="00325DA2"/>
    <w:rsid w:val="003260BF"/>
    <w:rsid w:val="00326477"/>
    <w:rsid w:val="00327038"/>
    <w:rsid w:val="00327FED"/>
    <w:rsid w:val="003312E7"/>
    <w:rsid w:val="00331378"/>
    <w:rsid w:val="00331461"/>
    <w:rsid w:val="00331728"/>
    <w:rsid w:val="00331785"/>
    <w:rsid w:val="00331AF3"/>
    <w:rsid w:val="00331BC3"/>
    <w:rsid w:val="00332117"/>
    <w:rsid w:val="00332649"/>
    <w:rsid w:val="00332869"/>
    <w:rsid w:val="00333F92"/>
    <w:rsid w:val="00334583"/>
    <w:rsid w:val="00334646"/>
    <w:rsid w:val="0033593E"/>
    <w:rsid w:val="00335C12"/>
    <w:rsid w:val="00335CED"/>
    <w:rsid w:val="0033626A"/>
    <w:rsid w:val="00336380"/>
    <w:rsid w:val="00336482"/>
    <w:rsid w:val="003364C3"/>
    <w:rsid w:val="00336764"/>
    <w:rsid w:val="00336800"/>
    <w:rsid w:val="00336D37"/>
    <w:rsid w:val="00337141"/>
    <w:rsid w:val="0033729E"/>
    <w:rsid w:val="003372D6"/>
    <w:rsid w:val="00337379"/>
    <w:rsid w:val="003402C5"/>
    <w:rsid w:val="003404F2"/>
    <w:rsid w:val="00340724"/>
    <w:rsid w:val="00340C2F"/>
    <w:rsid w:val="00341A7F"/>
    <w:rsid w:val="00341A80"/>
    <w:rsid w:val="00341E89"/>
    <w:rsid w:val="00342AEC"/>
    <w:rsid w:val="00342AF6"/>
    <w:rsid w:val="00343578"/>
    <w:rsid w:val="00343753"/>
    <w:rsid w:val="00343B7A"/>
    <w:rsid w:val="00344214"/>
    <w:rsid w:val="00344393"/>
    <w:rsid w:val="00344411"/>
    <w:rsid w:val="003448A5"/>
    <w:rsid w:val="00344BB0"/>
    <w:rsid w:val="00344C42"/>
    <w:rsid w:val="00344F45"/>
    <w:rsid w:val="0034548C"/>
    <w:rsid w:val="003458AA"/>
    <w:rsid w:val="003463D5"/>
    <w:rsid w:val="00346556"/>
    <w:rsid w:val="0034723C"/>
    <w:rsid w:val="00347696"/>
    <w:rsid w:val="003504FC"/>
    <w:rsid w:val="0035063E"/>
    <w:rsid w:val="0035085A"/>
    <w:rsid w:val="00350A2C"/>
    <w:rsid w:val="00350D7E"/>
    <w:rsid w:val="00350E4E"/>
    <w:rsid w:val="00350E7D"/>
    <w:rsid w:val="003514D9"/>
    <w:rsid w:val="003516C9"/>
    <w:rsid w:val="003517DD"/>
    <w:rsid w:val="00351D42"/>
    <w:rsid w:val="00352058"/>
    <w:rsid w:val="00352184"/>
    <w:rsid w:val="003521FE"/>
    <w:rsid w:val="003523F9"/>
    <w:rsid w:val="00352487"/>
    <w:rsid w:val="00352707"/>
    <w:rsid w:val="00352762"/>
    <w:rsid w:val="00352902"/>
    <w:rsid w:val="00352EEA"/>
    <w:rsid w:val="003534B7"/>
    <w:rsid w:val="00353506"/>
    <w:rsid w:val="00353A25"/>
    <w:rsid w:val="00353B0B"/>
    <w:rsid w:val="00354088"/>
    <w:rsid w:val="003540B1"/>
    <w:rsid w:val="00354510"/>
    <w:rsid w:val="00354F27"/>
    <w:rsid w:val="003551B4"/>
    <w:rsid w:val="00355211"/>
    <w:rsid w:val="00356040"/>
    <w:rsid w:val="0035614F"/>
    <w:rsid w:val="003571CB"/>
    <w:rsid w:val="00357364"/>
    <w:rsid w:val="00357825"/>
    <w:rsid w:val="00357A9B"/>
    <w:rsid w:val="0036121A"/>
    <w:rsid w:val="0036129B"/>
    <w:rsid w:val="003619D3"/>
    <w:rsid w:val="00361ABD"/>
    <w:rsid w:val="00361FA8"/>
    <w:rsid w:val="003625E5"/>
    <w:rsid w:val="00362654"/>
    <w:rsid w:val="00362825"/>
    <w:rsid w:val="00362900"/>
    <w:rsid w:val="00362928"/>
    <w:rsid w:val="00362B1A"/>
    <w:rsid w:val="00362EA3"/>
    <w:rsid w:val="00362ECA"/>
    <w:rsid w:val="003636E9"/>
    <w:rsid w:val="003637B8"/>
    <w:rsid w:val="00363A9D"/>
    <w:rsid w:val="00363F62"/>
    <w:rsid w:val="003641DE"/>
    <w:rsid w:val="0036429E"/>
    <w:rsid w:val="00364A92"/>
    <w:rsid w:val="00364BA1"/>
    <w:rsid w:val="00364C67"/>
    <w:rsid w:val="00364E78"/>
    <w:rsid w:val="00366161"/>
    <w:rsid w:val="003667B4"/>
    <w:rsid w:val="00366A2F"/>
    <w:rsid w:val="00366C67"/>
    <w:rsid w:val="00366EE3"/>
    <w:rsid w:val="0036735F"/>
    <w:rsid w:val="00367438"/>
    <w:rsid w:val="00367768"/>
    <w:rsid w:val="00367AD4"/>
    <w:rsid w:val="00367C7B"/>
    <w:rsid w:val="00367DBB"/>
    <w:rsid w:val="0037022B"/>
    <w:rsid w:val="00370950"/>
    <w:rsid w:val="00370AE4"/>
    <w:rsid w:val="00370C86"/>
    <w:rsid w:val="00370EE8"/>
    <w:rsid w:val="0037114E"/>
    <w:rsid w:val="00371516"/>
    <w:rsid w:val="0037183E"/>
    <w:rsid w:val="00371938"/>
    <w:rsid w:val="00371B8D"/>
    <w:rsid w:val="00371DB4"/>
    <w:rsid w:val="00371ED1"/>
    <w:rsid w:val="00371FE6"/>
    <w:rsid w:val="00372043"/>
    <w:rsid w:val="0037222C"/>
    <w:rsid w:val="00372337"/>
    <w:rsid w:val="003727B2"/>
    <w:rsid w:val="00372BBE"/>
    <w:rsid w:val="00372BD7"/>
    <w:rsid w:val="00373076"/>
    <w:rsid w:val="003731F0"/>
    <w:rsid w:val="003734F5"/>
    <w:rsid w:val="00373B97"/>
    <w:rsid w:val="00373D1C"/>
    <w:rsid w:val="00373D5E"/>
    <w:rsid w:val="0037427A"/>
    <w:rsid w:val="0037455F"/>
    <w:rsid w:val="00374B82"/>
    <w:rsid w:val="00374D4C"/>
    <w:rsid w:val="00374F9F"/>
    <w:rsid w:val="00376152"/>
    <w:rsid w:val="003769AC"/>
    <w:rsid w:val="00376FF1"/>
    <w:rsid w:val="00377452"/>
    <w:rsid w:val="00377557"/>
    <w:rsid w:val="0037771E"/>
    <w:rsid w:val="003778E4"/>
    <w:rsid w:val="0037799E"/>
    <w:rsid w:val="00377AAB"/>
    <w:rsid w:val="00377AF0"/>
    <w:rsid w:val="003819C4"/>
    <w:rsid w:val="00381C3C"/>
    <w:rsid w:val="00382FBA"/>
    <w:rsid w:val="00383061"/>
    <w:rsid w:val="0038348E"/>
    <w:rsid w:val="00383BDE"/>
    <w:rsid w:val="00383DC6"/>
    <w:rsid w:val="00383FAF"/>
    <w:rsid w:val="003849FE"/>
    <w:rsid w:val="00384CC8"/>
    <w:rsid w:val="00384E48"/>
    <w:rsid w:val="003852FC"/>
    <w:rsid w:val="003858C9"/>
    <w:rsid w:val="00385A56"/>
    <w:rsid w:val="00385A78"/>
    <w:rsid w:val="00385BC9"/>
    <w:rsid w:val="00385D0E"/>
    <w:rsid w:val="00385F87"/>
    <w:rsid w:val="00386CE1"/>
    <w:rsid w:val="00386FB3"/>
    <w:rsid w:val="00387C0B"/>
    <w:rsid w:val="00387FB0"/>
    <w:rsid w:val="00390092"/>
    <w:rsid w:val="003901BC"/>
    <w:rsid w:val="00390279"/>
    <w:rsid w:val="0039086A"/>
    <w:rsid w:val="003908B8"/>
    <w:rsid w:val="00390949"/>
    <w:rsid w:val="00390C60"/>
    <w:rsid w:val="0039127B"/>
    <w:rsid w:val="003914B0"/>
    <w:rsid w:val="00391A35"/>
    <w:rsid w:val="00391F24"/>
    <w:rsid w:val="00392009"/>
    <w:rsid w:val="00392181"/>
    <w:rsid w:val="00392A32"/>
    <w:rsid w:val="00392A5F"/>
    <w:rsid w:val="00393292"/>
    <w:rsid w:val="0039368B"/>
    <w:rsid w:val="00393BB1"/>
    <w:rsid w:val="00393DC0"/>
    <w:rsid w:val="00393F4D"/>
    <w:rsid w:val="00394709"/>
    <w:rsid w:val="00394985"/>
    <w:rsid w:val="00394A72"/>
    <w:rsid w:val="00395CC2"/>
    <w:rsid w:val="00396020"/>
    <w:rsid w:val="00396026"/>
    <w:rsid w:val="003963DE"/>
    <w:rsid w:val="003966BB"/>
    <w:rsid w:val="003970CD"/>
    <w:rsid w:val="003975E9"/>
    <w:rsid w:val="003A010F"/>
    <w:rsid w:val="003A016E"/>
    <w:rsid w:val="003A07C0"/>
    <w:rsid w:val="003A1275"/>
    <w:rsid w:val="003A1E2B"/>
    <w:rsid w:val="003A2180"/>
    <w:rsid w:val="003A23FA"/>
    <w:rsid w:val="003A3383"/>
    <w:rsid w:val="003A381E"/>
    <w:rsid w:val="003A3AA7"/>
    <w:rsid w:val="003A3DB3"/>
    <w:rsid w:val="003A41B5"/>
    <w:rsid w:val="003A4300"/>
    <w:rsid w:val="003A4316"/>
    <w:rsid w:val="003A45CD"/>
    <w:rsid w:val="003A4B03"/>
    <w:rsid w:val="003A4C0C"/>
    <w:rsid w:val="003A4EEA"/>
    <w:rsid w:val="003A515E"/>
    <w:rsid w:val="003A5268"/>
    <w:rsid w:val="003A561E"/>
    <w:rsid w:val="003A562A"/>
    <w:rsid w:val="003A5BDF"/>
    <w:rsid w:val="003A5DC0"/>
    <w:rsid w:val="003A64F3"/>
    <w:rsid w:val="003A6925"/>
    <w:rsid w:val="003A74AD"/>
    <w:rsid w:val="003A75F2"/>
    <w:rsid w:val="003A765F"/>
    <w:rsid w:val="003B004F"/>
    <w:rsid w:val="003B0813"/>
    <w:rsid w:val="003B0ED2"/>
    <w:rsid w:val="003B0F20"/>
    <w:rsid w:val="003B11F7"/>
    <w:rsid w:val="003B1507"/>
    <w:rsid w:val="003B1890"/>
    <w:rsid w:val="003B1B5A"/>
    <w:rsid w:val="003B23D6"/>
    <w:rsid w:val="003B25FE"/>
    <w:rsid w:val="003B265D"/>
    <w:rsid w:val="003B268F"/>
    <w:rsid w:val="003B2BBF"/>
    <w:rsid w:val="003B2FCF"/>
    <w:rsid w:val="003B412C"/>
    <w:rsid w:val="003B424F"/>
    <w:rsid w:val="003B45FF"/>
    <w:rsid w:val="003B478B"/>
    <w:rsid w:val="003B48F4"/>
    <w:rsid w:val="003B52C6"/>
    <w:rsid w:val="003B5A24"/>
    <w:rsid w:val="003B6414"/>
    <w:rsid w:val="003B64D2"/>
    <w:rsid w:val="003B66D8"/>
    <w:rsid w:val="003B6A5F"/>
    <w:rsid w:val="003B7065"/>
    <w:rsid w:val="003B7893"/>
    <w:rsid w:val="003B7C01"/>
    <w:rsid w:val="003B7EB3"/>
    <w:rsid w:val="003C0031"/>
    <w:rsid w:val="003C08C5"/>
    <w:rsid w:val="003C1967"/>
    <w:rsid w:val="003C1B0B"/>
    <w:rsid w:val="003C1B45"/>
    <w:rsid w:val="003C1B6F"/>
    <w:rsid w:val="003C1E06"/>
    <w:rsid w:val="003C2936"/>
    <w:rsid w:val="003C2BB1"/>
    <w:rsid w:val="003C2D6F"/>
    <w:rsid w:val="003C2DD9"/>
    <w:rsid w:val="003C30D0"/>
    <w:rsid w:val="003C37F7"/>
    <w:rsid w:val="003C3A82"/>
    <w:rsid w:val="003C40AB"/>
    <w:rsid w:val="003C4585"/>
    <w:rsid w:val="003C4AD1"/>
    <w:rsid w:val="003C5C50"/>
    <w:rsid w:val="003C5DDF"/>
    <w:rsid w:val="003C6849"/>
    <w:rsid w:val="003C6F23"/>
    <w:rsid w:val="003C72A3"/>
    <w:rsid w:val="003C75FB"/>
    <w:rsid w:val="003C7C97"/>
    <w:rsid w:val="003C7D3E"/>
    <w:rsid w:val="003C7D61"/>
    <w:rsid w:val="003D0432"/>
    <w:rsid w:val="003D0683"/>
    <w:rsid w:val="003D077C"/>
    <w:rsid w:val="003D07FC"/>
    <w:rsid w:val="003D0861"/>
    <w:rsid w:val="003D08D4"/>
    <w:rsid w:val="003D098B"/>
    <w:rsid w:val="003D0F7B"/>
    <w:rsid w:val="003D1DA5"/>
    <w:rsid w:val="003D2387"/>
    <w:rsid w:val="003D283C"/>
    <w:rsid w:val="003D3194"/>
    <w:rsid w:val="003D325C"/>
    <w:rsid w:val="003D32AB"/>
    <w:rsid w:val="003D36C1"/>
    <w:rsid w:val="003D3D5E"/>
    <w:rsid w:val="003D40BD"/>
    <w:rsid w:val="003D43BB"/>
    <w:rsid w:val="003D47A2"/>
    <w:rsid w:val="003D53F9"/>
    <w:rsid w:val="003D5526"/>
    <w:rsid w:val="003D5CBA"/>
    <w:rsid w:val="003D6210"/>
    <w:rsid w:val="003D6A0C"/>
    <w:rsid w:val="003D6AD0"/>
    <w:rsid w:val="003D6BAF"/>
    <w:rsid w:val="003D6DD5"/>
    <w:rsid w:val="003D6FAD"/>
    <w:rsid w:val="003D745A"/>
    <w:rsid w:val="003D749F"/>
    <w:rsid w:val="003D7CEB"/>
    <w:rsid w:val="003E060F"/>
    <w:rsid w:val="003E07F8"/>
    <w:rsid w:val="003E0E61"/>
    <w:rsid w:val="003E143C"/>
    <w:rsid w:val="003E17EE"/>
    <w:rsid w:val="003E2D5C"/>
    <w:rsid w:val="003E2F03"/>
    <w:rsid w:val="003E338A"/>
    <w:rsid w:val="003E33F8"/>
    <w:rsid w:val="003E34F1"/>
    <w:rsid w:val="003E38B8"/>
    <w:rsid w:val="003E3AE7"/>
    <w:rsid w:val="003E3E23"/>
    <w:rsid w:val="003E3E27"/>
    <w:rsid w:val="003E56DC"/>
    <w:rsid w:val="003E59AA"/>
    <w:rsid w:val="003E6179"/>
    <w:rsid w:val="003E6530"/>
    <w:rsid w:val="003E6791"/>
    <w:rsid w:val="003E6BE3"/>
    <w:rsid w:val="003E6C57"/>
    <w:rsid w:val="003E717E"/>
    <w:rsid w:val="003E781C"/>
    <w:rsid w:val="003F016E"/>
    <w:rsid w:val="003F01AB"/>
    <w:rsid w:val="003F0C2A"/>
    <w:rsid w:val="003F191F"/>
    <w:rsid w:val="003F1958"/>
    <w:rsid w:val="003F1C38"/>
    <w:rsid w:val="003F1F46"/>
    <w:rsid w:val="003F1FFD"/>
    <w:rsid w:val="003F21EA"/>
    <w:rsid w:val="003F2397"/>
    <w:rsid w:val="003F2548"/>
    <w:rsid w:val="003F2564"/>
    <w:rsid w:val="003F26D5"/>
    <w:rsid w:val="003F3BBD"/>
    <w:rsid w:val="003F3E50"/>
    <w:rsid w:val="003F3FDB"/>
    <w:rsid w:val="003F444B"/>
    <w:rsid w:val="003F4C48"/>
    <w:rsid w:val="003F58EF"/>
    <w:rsid w:val="003F5D91"/>
    <w:rsid w:val="003F6585"/>
    <w:rsid w:val="003F693A"/>
    <w:rsid w:val="003F7178"/>
    <w:rsid w:val="003F79E2"/>
    <w:rsid w:val="00400053"/>
    <w:rsid w:val="004000F4"/>
    <w:rsid w:val="004001D0"/>
    <w:rsid w:val="00400657"/>
    <w:rsid w:val="004006A6"/>
    <w:rsid w:val="004006BB"/>
    <w:rsid w:val="004007D8"/>
    <w:rsid w:val="00400F9B"/>
    <w:rsid w:val="00401FA0"/>
    <w:rsid w:val="004027F2"/>
    <w:rsid w:val="0040285D"/>
    <w:rsid w:val="004033F1"/>
    <w:rsid w:val="00403764"/>
    <w:rsid w:val="00404248"/>
    <w:rsid w:val="00404E5E"/>
    <w:rsid w:val="00404FD5"/>
    <w:rsid w:val="0040564F"/>
    <w:rsid w:val="0040574C"/>
    <w:rsid w:val="00406193"/>
    <w:rsid w:val="0040619C"/>
    <w:rsid w:val="004063AD"/>
    <w:rsid w:val="0040653E"/>
    <w:rsid w:val="00406789"/>
    <w:rsid w:val="00406867"/>
    <w:rsid w:val="004069E8"/>
    <w:rsid w:val="00406BD4"/>
    <w:rsid w:val="004070C1"/>
    <w:rsid w:val="004071FA"/>
    <w:rsid w:val="00407347"/>
    <w:rsid w:val="00407659"/>
    <w:rsid w:val="00407B9C"/>
    <w:rsid w:val="00407E96"/>
    <w:rsid w:val="00407E9D"/>
    <w:rsid w:val="0041068E"/>
    <w:rsid w:val="004108A6"/>
    <w:rsid w:val="00410982"/>
    <w:rsid w:val="00410C96"/>
    <w:rsid w:val="00410E33"/>
    <w:rsid w:val="004111EA"/>
    <w:rsid w:val="004118C6"/>
    <w:rsid w:val="00411ADD"/>
    <w:rsid w:val="00412098"/>
    <w:rsid w:val="004121CA"/>
    <w:rsid w:val="00412A52"/>
    <w:rsid w:val="00412A61"/>
    <w:rsid w:val="004136E5"/>
    <w:rsid w:val="0041474F"/>
    <w:rsid w:val="004147C2"/>
    <w:rsid w:val="00414A8F"/>
    <w:rsid w:val="00414C05"/>
    <w:rsid w:val="004153EF"/>
    <w:rsid w:val="004157D6"/>
    <w:rsid w:val="00415D2F"/>
    <w:rsid w:val="004165F1"/>
    <w:rsid w:val="004168D1"/>
    <w:rsid w:val="00416C1F"/>
    <w:rsid w:val="004173FF"/>
    <w:rsid w:val="00417406"/>
    <w:rsid w:val="0041792D"/>
    <w:rsid w:val="004205A9"/>
    <w:rsid w:val="00420AAD"/>
    <w:rsid w:val="00420D2F"/>
    <w:rsid w:val="0042131A"/>
    <w:rsid w:val="00421DC4"/>
    <w:rsid w:val="004220A8"/>
    <w:rsid w:val="00422220"/>
    <w:rsid w:val="004227EE"/>
    <w:rsid w:val="00422808"/>
    <w:rsid w:val="00422965"/>
    <w:rsid w:val="00423D1F"/>
    <w:rsid w:val="0042437B"/>
    <w:rsid w:val="00424809"/>
    <w:rsid w:val="00425363"/>
    <w:rsid w:val="004255E3"/>
    <w:rsid w:val="00426138"/>
    <w:rsid w:val="004263A3"/>
    <w:rsid w:val="00426643"/>
    <w:rsid w:val="00426CD7"/>
    <w:rsid w:val="00426D17"/>
    <w:rsid w:val="00426E4B"/>
    <w:rsid w:val="00426FF5"/>
    <w:rsid w:val="004272FD"/>
    <w:rsid w:val="00427D41"/>
    <w:rsid w:val="00427FA3"/>
    <w:rsid w:val="00430629"/>
    <w:rsid w:val="00430A3E"/>
    <w:rsid w:val="004310D5"/>
    <w:rsid w:val="00431F5E"/>
    <w:rsid w:val="00431F6A"/>
    <w:rsid w:val="00431FC1"/>
    <w:rsid w:val="004323EC"/>
    <w:rsid w:val="0043285F"/>
    <w:rsid w:val="00432B07"/>
    <w:rsid w:val="00432F9B"/>
    <w:rsid w:val="004333D1"/>
    <w:rsid w:val="00433B12"/>
    <w:rsid w:val="00433FF7"/>
    <w:rsid w:val="0043408D"/>
    <w:rsid w:val="00434359"/>
    <w:rsid w:val="004343A3"/>
    <w:rsid w:val="0043444E"/>
    <w:rsid w:val="00434C7C"/>
    <w:rsid w:val="00435110"/>
    <w:rsid w:val="004351B9"/>
    <w:rsid w:val="004355EF"/>
    <w:rsid w:val="0043583C"/>
    <w:rsid w:val="0043594A"/>
    <w:rsid w:val="004359E8"/>
    <w:rsid w:val="00435B74"/>
    <w:rsid w:val="004360C4"/>
    <w:rsid w:val="00436344"/>
    <w:rsid w:val="0043655A"/>
    <w:rsid w:val="0043661E"/>
    <w:rsid w:val="00436A8A"/>
    <w:rsid w:val="00436ACD"/>
    <w:rsid w:val="00436D81"/>
    <w:rsid w:val="004378A0"/>
    <w:rsid w:val="00437D17"/>
    <w:rsid w:val="00437E41"/>
    <w:rsid w:val="00437F6A"/>
    <w:rsid w:val="00440117"/>
    <w:rsid w:val="0044126C"/>
    <w:rsid w:val="0044153C"/>
    <w:rsid w:val="00441AE4"/>
    <w:rsid w:val="00441E4F"/>
    <w:rsid w:val="00441E67"/>
    <w:rsid w:val="004420D2"/>
    <w:rsid w:val="00442793"/>
    <w:rsid w:val="00442799"/>
    <w:rsid w:val="00442A15"/>
    <w:rsid w:val="00443092"/>
    <w:rsid w:val="0044338A"/>
    <w:rsid w:val="00443509"/>
    <w:rsid w:val="00443529"/>
    <w:rsid w:val="004437E8"/>
    <w:rsid w:val="004438CB"/>
    <w:rsid w:val="00443A9D"/>
    <w:rsid w:val="00443FA7"/>
    <w:rsid w:val="00444159"/>
    <w:rsid w:val="004444EA"/>
    <w:rsid w:val="00444616"/>
    <w:rsid w:val="00444CE4"/>
    <w:rsid w:val="0044584D"/>
    <w:rsid w:val="00445C30"/>
    <w:rsid w:val="00445F53"/>
    <w:rsid w:val="00446178"/>
    <w:rsid w:val="00446205"/>
    <w:rsid w:val="0044662B"/>
    <w:rsid w:val="00446BA5"/>
    <w:rsid w:val="00446C5A"/>
    <w:rsid w:val="00447015"/>
    <w:rsid w:val="00447381"/>
    <w:rsid w:val="00447384"/>
    <w:rsid w:val="0044743F"/>
    <w:rsid w:val="004479C4"/>
    <w:rsid w:val="00447E1B"/>
    <w:rsid w:val="0045040E"/>
    <w:rsid w:val="00450CC0"/>
    <w:rsid w:val="00450D25"/>
    <w:rsid w:val="0045107B"/>
    <w:rsid w:val="004510B9"/>
    <w:rsid w:val="00451301"/>
    <w:rsid w:val="0045137D"/>
    <w:rsid w:val="00451666"/>
    <w:rsid w:val="00451879"/>
    <w:rsid w:val="0045195E"/>
    <w:rsid w:val="00451E0C"/>
    <w:rsid w:val="00451E35"/>
    <w:rsid w:val="004523DD"/>
    <w:rsid w:val="00452D0D"/>
    <w:rsid w:val="00453607"/>
    <w:rsid w:val="00453A4E"/>
    <w:rsid w:val="00453E13"/>
    <w:rsid w:val="0045462F"/>
    <w:rsid w:val="004547DC"/>
    <w:rsid w:val="00455817"/>
    <w:rsid w:val="00455E20"/>
    <w:rsid w:val="00455E77"/>
    <w:rsid w:val="004560DF"/>
    <w:rsid w:val="0045613C"/>
    <w:rsid w:val="00456339"/>
    <w:rsid w:val="0045668A"/>
    <w:rsid w:val="00456D9C"/>
    <w:rsid w:val="00456F1C"/>
    <w:rsid w:val="00457104"/>
    <w:rsid w:val="00457414"/>
    <w:rsid w:val="0045744D"/>
    <w:rsid w:val="0045765C"/>
    <w:rsid w:val="00457AE3"/>
    <w:rsid w:val="00457CD5"/>
    <w:rsid w:val="00457D91"/>
    <w:rsid w:val="00457E0B"/>
    <w:rsid w:val="004600CA"/>
    <w:rsid w:val="00460C0E"/>
    <w:rsid w:val="00460DA9"/>
    <w:rsid w:val="004616C3"/>
    <w:rsid w:val="00461E22"/>
    <w:rsid w:val="00462013"/>
    <w:rsid w:val="004625D8"/>
    <w:rsid w:val="00462AB9"/>
    <w:rsid w:val="0046348E"/>
    <w:rsid w:val="00463A2B"/>
    <w:rsid w:val="00463AA4"/>
    <w:rsid w:val="00463B0C"/>
    <w:rsid w:val="00463DAC"/>
    <w:rsid w:val="0046420C"/>
    <w:rsid w:val="00464ABB"/>
    <w:rsid w:val="00464D73"/>
    <w:rsid w:val="0046525E"/>
    <w:rsid w:val="0046550B"/>
    <w:rsid w:val="00465D09"/>
    <w:rsid w:val="00465F42"/>
    <w:rsid w:val="00466A60"/>
    <w:rsid w:val="00466ADD"/>
    <w:rsid w:val="00466D68"/>
    <w:rsid w:val="00467C9B"/>
    <w:rsid w:val="0047021A"/>
    <w:rsid w:val="00470258"/>
    <w:rsid w:val="004702BA"/>
    <w:rsid w:val="004709D5"/>
    <w:rsid w:val="0047103E"/>
    <w:rsid w:val="0047133F"/>
    <w:rsid w:val="00471356"/>
    <w:rsid w:val="0047150F"/>
    <w:rsid w:val="0047157D"/>
    <w:rsid w:val="004718BD"/>
    <w:rsid w:val="004718DF"/>
    <w:rsid w:val="00471DA2"/>
    <w:rsid w:val="00471F10"/>
    <w:rsid w:val="00472242"/>
    <w:rsid w:val="0047266C"/>
    <w:rsid w:val="00472830"/>
    <w:rsid w:val="004728B9"/>
    <w:rsid w:val="0047293E"/>
    <w:rsid w:val="00472E95"/>
    <w:rsid w:val="0047313F"/>
    <w:rsid w:val="004735D3"/>
    <w:rsid w:val="00473606"/>
    <w:rsid w:val="00473B15"/>
    <w:rsid w:val="00473E43"/>
    <w:rsid w:val="00473F7A"/>
    <w:rsid w:val="004758B1"/>
    <w:rsid w:val="00475F54"/>
    <w:rsid w:val="0047606D"/>
    <w:rsid w:val="00477472"/>
    <w:rsid w:val="00477560"/>
    <w:rsid w:val="00480606"/>
    <w:rsid w:val="004807AA"/>
    <w:rsid w:val="00481066"/>
    <w:rsid w:val="004811CB"/>
    <w:rsid w:val="00481875"/>
    <w:rsid w:val="00481C46"/>
    <w:rsid w:val="00481D1F"/>
    <w:rsid w:val="00481F91"/>
    <w:rsid w:val="0048258E"/>
    <w:rsid w:val="00482DFA"/>
    <w:rsid w:val="00483075"/>
    <w:rsid w:val="0048357A"/>
    <w:rsid w:val="004836DB"/>
    <w:rsid w:val="00483AD5"/>
    <w:rsid w:val="00483B13"/>
    <w:rsid w:val="00483B8C"/>
    <w:rsid w:val="004841AB"/>
    <w:rsid w:val="00484257"/>
    <w:rsid w:val="004842A0"/>
    <w:rsid w:val="004849B4"/>
    <w:rsid w:val="00484A5F"/>
    <w:rsid w:val="00484C3A"/>
    <w:rsid w:val="00484CF5"/>
    <w:rsid w:val="00484EE2"/>
    <w:rsid w:val="004850CD"/>
    <w:rsid w:val="00485545"/>
    <w:rsid w:val="004855CE"/>
    <w:rsid w:val="00485D53"/>
    <w:rsid w:val="00486051"/>
    <w:rsid w:val="004860D7"/>
    <w:rsid w:val="00487B90"/>
    <w:rsid w:val="00487C8F"/>
    <w:rsid w:val="00487E10"/>
    <w:rsid w:val="00490626"/>
    <w:rsid w:val="00490995"/>
    <w:rsid w:val="00490B5B"/>
    <w:rsid w:val="00490D4F"/>
    <w:rsid w:val="00491000"/>
    <w:rsid w:val="00491B46"/>
    <w:rsid w:val="00491B92"/>
    <w:rsid w:val="004920BD"/>
    <w:rsid w:val="004920D8"/>
    <w:rsid w:val="00492570"/>
    <w:rsid w:val="004946EB"/>
    <w:rsid w:val="00494878"/>
    <w:rsid w:val="00494BF2"/>
    <w:rsid w:val="00495111"/>
    <w:rsid w:val="00495586"/>
    <w:rsid w:val="0049560B"/>
    <w:rsid w:val="00495734"/>
    <w:rsid w:val="004958CA"/>
    <w:rsid w:val="0049591D"/>
    <w:rsid w:val="00495955"/>
    <w:rsid w:val="00496CE9"/>
    <w:rsid w:val="00496E25"/>
    <w:rsid w:val="0049792A"/>
    <w:rsid w:val="004A083A"/>
    <w:rsid w:val="004A1288"/>
    <w:rsid w:val="004A173C"/>
    <w:rsid w:val="004A1FC1"/>
    <w:rsid w:val="004A205F"/>
    <w:rsid w:val="004A2079"/>
    <w:rsid w:val="004A22C4"/>
    <w:rsid w:val="004A262D"/>
    <w:rsid w:val="004A266E"/>
    <w:rsid w:val="004A2888"/>
    <w:rsid w:val="004A2C84"/>
    <w:rsid w:val="004A2F85"/>
    <w:rsid w:val="004A32BF"/>
    <w:rsid w:val="004A330A"/>
    <w:rsid w:val="004A34E6"/>
    <w:rsid w:val="004A3C85"/>
    <w:rsid w:val="004A40E7"/>
    <w:rsid w:val="004A47C7"/>
    <w:rsid w:val="004A4E4B"/>
    <w:rsid w:val="004A532C"/>
    <w:rsid w:val="004A59B6"/>
    <w:rsid w:val="004A5BE8"/>
    <w:rsid w:val="004A5D93"/>
    <w:rsid w:val="004A608D"/>
    <w:rsid w:val="004A697B"/>
    <w:rsid w:val="004A6F90"/>
    <w:rsid w:val="004A75CB"/>
    <w:rsid w:val="004A7903"/>
    <w:rsid w:val="004A7D4A"/>
    <w:rsid w:val="004A7D79"/>
    <w:rsid w:val="004A7E36"/>
    <w:rsid w:val="004B0044"/>
    <w:rsid w:val="004B09A0"/>
    <w:rsid w:val="004B0A2F"/>
    <w:rsid w:val="004B0C39"/>
    <w:rsid w:val="004B0D7C"/>
    <w:rsid w:val="004B0DA0"/>
    <w:rsid w:val="004B1003"/>
    <w:rsid w:val="004B11EA"/>
    <w:rsid w:val="004B261A"/>
    <w:rsid w:val="004B2A2D"/>
    <w:rsid w:val="004B2C3A"/>
    <w:rsid w:val="004B2DA6"/>
    <w:rsid w:val="004B2E0B"/>
    <w:rsid w:val="004B2E2B"/>
    <w:rsid w:val="004B3144"/>
    <w:rsid w:val="004B31F9"/>
    <w:rsid w:val="004B3B71"/>
    <w:rsid w:val="004B3F17"/>
    <w:rsid w:val="004B4038"/>
    <w:rsid w:val="004B4764"/>
    <w:rsid w:val="004B4AE4"/>
    <w:rsid w:val="004B4D25"/>
    <w:rsid w:val="004B5118"/>
    <w:rsid w:val="004B6494"/>
    <w:rsid w:val="004B69FA"/>
    <w:rsid w:val="004B7026"/>
    <w:rsid w:val="004B705C"/>
    <w:rsid w:val="004B7250"/>
    <w:rsid w:val="004B7640"/>
    <w:rsid w:val="004C00D4"/>
    <w:rsid w:val="004C0773"/>
    <w:rsid w:val="004C0BBB"/>
    <w:rsid w:val="004C0D2F"/>
    <w:rsid w:val="004C0E88"/>
    <w:rsid w:val="004C1111"/>
    <w:rsid w:val="004C12C0"/>
    <w:rsid w:val="004C13C5"/>
    <w:rsid w:val="004C1D56"/>
    <w:rsid w:val="004C1EDA"/>
    <w:rsid w:val="004C1F8F"/>
    <w:rsid w:val="004C2052"/>
    <w:rsid w:val="004C24D1"/>
    <w:rsid w:val="004C2547"/>
    <w:rsid w:val="004C25DD"/>
    <w:rsid w:val="004C283C"/>
    <w:rsid w:val="004C30B3"/>
    <w:rsid w:val="004C34BC"/>
    <w:rsid w:val="004C363E"/>
    <w:rsid w:val="004C3CC3"/>
    <w:rsid w:val="004C43AF"/>
    <w:rsid w:val="004C4849"/>
    <w:rsid w:val="004C4A36"/>
    <w:rsid w:val="004C4D75"/>
    <w:rsid w:val="004C4EB0"/>
    <w:rsid w:val="004C5887"/>
    <w:rsid w:val="004C5B68"/>
    <w:rsid w:val="004C5FD8"/>
    <w:rsid w:val="004C6050"/>
    <w:rsid w:val="004C665B"/>
    <w:rsid w:val="004C6660"/>
    <w:rsid w:val="004C7D56"/>
    <w:rsid w:val="004C7EB5"/>
    <w:rsid w:val="004D0A26"/>
    <w:rsid w:val="004D2050"/>
    <w:rsid w:val="004D2489"/>
    <w:rsid w:val="004D2620"/>
    <w:rsid w:val="004D2B94"/>
    <w:rsid w:val="004D311C"/>
    <w:rsid w:val="004D33F6"/>
    <w:rsid w:val="004D3525"/>
    <w:rsid w:val="004D3B72"/>
    <w:rsid w:val="004D3D0B"/>
    <w:rsid w:val="004D4339"/>
    <w:rsid w:val="004D4768"/>
    <w:rsid w:val="004D48D4"/>
    <w:rsid w:val="004D496C"/>
    <w:rsid w:val="004D4A98"/>
    <w:rsid w:val="004D4F39"/>
    <w:rsid w:val="004D5014"/>
    <w:rsid w:val="004D503E"/>
    <w:rsid w:val="004D51B0"/>
    <w:rsid w:val="004D5854"/>
    <w:rsid w:val="004D5D92"/>
    <w:rsid w:val="004D5E63"/>
    <w:rsid w:val="004D6644"/>
    <w:rsid w:val="004D7A87"/>
    <w:rsid w:val="004E09AF"/>
    <w:rsid w:val="004E0AA2"/>
    <w:rsid w:val="004E0B7F"/>
    <w:rsid w:val="004E0BB9"/>
    <w:rsid w:val="004E12DE"/>
    <w:rsid w:val="004E193F"/>
    <w:rsid w:val="004E1B34"/>
    <w:rsid w:val="004E1B9B"/>
    <w:rsid w:val="004E1BC8"/>
    <w:rsid w:val="004E1C41"/>
    <w:rsid w:val="004E200D"/>
    <w:rsid w:val="004E2883"/>
    <w:rsid w:val="004E307E"/>
    <w:rsid w:val="004E30D6"/>
    <w:rsid w:val="004E33C6"/>
    <w:rsid w:val="004E39BC"/>
    <w:rsid w:val="004E410A"/>
    <w:rsid w:val="004E4B06"/>
    <w:rsid w:val="004E4D44"/>
    <w:rsid w:val="004E4D78"/>
    <w:rsid w:val="004E563E"/>
    <w:rsid w:val="004E574C"/>
    <w:rsid w:val="004E58CF"/>
    <w:rsid w:val="004E5B3A"/>
    <w:rsid w:val="004E5F2B"/>
    <w:rsid w:val="004E6628"/>
    <w:rsid w:val="004E684A"/>
    <w:rsid w:val="004E6B49"/>
    <w:rsid w:val="004E6D78"/>
    <w:rsid w:val="004E6EFF"/>
    <w:rsid w:val="004E70B6"/>
    <w:rsid w:val="004F0060"/>
    <w:rsid w:val="004F02FD"/>
    <w:rsid w:val="004F0C64"/>
    <w:rsid w:val="004F0C91"/>
    <w:rsid w:val="004F1779"/>
    <w:rsid w:val="004F187F"/>
    <w:rsid w:val="004F1C59"/>
    <w:rsid w:val="004F21D9"/>
    <w:rsid w:val="004F23C3"/>
    <w:rsid w:val="004F2EFF"/>
    <w:rsid w:val="004F3644"/>
    <w:rsid w:val="004F3973"/>
    <w:rsid w:val="004F3E61"/>
    <w:rsid w:val="004F4028"/>
    <w:rsid w:val="004F40B9"/>
    <w:rsid w:val="004F414C"/>
    <w:rsid w:val="004F47BE"/>
    <w:rsid w:val="004F49ED"/>
    <w:rsid w:val="004F4A0F"/>
    <w:rsid w:val="004F52D5"/>
    <w:rsid w:val="004F5889"/>
    <w:rsid w:val="004F6280"/>
    <w:rsid w:val="004F6633"/>
    <w:rsid w:val="004F6DA8"/>
    <w:rsid w:val="004F71E2"/>
    <w:rsid w:val="004F71ED"/>
    <w:rsid w:val="004F746F"/>
    <w:rsid w:val="004F7B6C"/>
    <w:rsid w:val="004F7EAE"/>
    <w:rsid w:val="00500684"/>
    <w:rsid w:val="00500687"/>
    <w:rsid w:val="005006E9"/>
    <w:rsid w:val="005008E9"/>
    <w:rsid w:val="00501236"/>
    <w:rsid w:val="00501449"/>
    <w:rsid w:val="005021C4"/>
    <w:rsid w:val="00502594"/>
    <w:rsid w:val="0050284D"/>
    <w:rsid w:val="005028DB"/>
    <w:rsid w:val="005034F1"/>
    <w:rsid w:val="00503952"/>
    <w:rsid w:val="00503C42"/>
    <w:rsid w:val="00503C9B"/>
    <w:rsid w:val="005046B5"/>
    <w:rsid w:val="00504795"/>
    <w:rsid w:val="0050480A"/>
    <w:rsid w:val="00504865"/>
    <w:rsid w:val="00504978"/>
    <w:rsid w:val="00504B58"/>
    <w:rsid w:val="00506520"/>
    <w:rsid w:val="0050667D"/>
    <w:rsid w:val="00506C3A"/>
    <w:rsid w:val="0050737F"/>
    <w:rsid w:val="00507636"/>
    <w:rsid w:val="00510071"/>
    <w:rsid w:val="005100B2"/>
    <w:rsid w:val="00510453"/>
    <w:rsid w:val="00511765"/>
    <w:rsid w:val="005118B4"/>
    <w:rsid w:val="005118DC"/>
    <w:rsid w:val="00511B18"/>
    <w:rsid w:val="00511EFF"/>
    <w:rsid w:val="005128A2"/>
    <w:rsid w:val="0051329D"/>
    <w:rsid w:val="00514A44"/>
    <w:rsid w:val="00514C9A"/>
    <w:rsid w:val="0051558D"/>
    <w:rsid w:val="005155EE"/>
    <w:rsid w:val="0051590D"/>
    <w:rsid w:val="00515941"/>
    <w:rsid w:val="00515CF1"/>
    <w:rsid w:val="00515F12"/>
    <w:rsid w:val="00515FC8"/>
    <w:rsid w:val="00516649"/>
    <w:rsid w:val="00516782"/>
    <w:rsid w:val="00516A6B"/>
    <w:rsid w:val="00516DEC"/>
    <w:rsid w:val="00516E41"/>
    <w:rsid w:val="00516E6C"/>
    <w:rsid w:val="00517779"/>
    <w:rsid w:val="00517B59"/>
    <w:rsid w:val="00520275"/>
    <w:rsid w:val="00520443"/>
    <w:rsid w:val="0052049E"/>
    <w:rsid w:val="0052051A"/>
    <w:rsid w:val="005207F5"/>
    <w:rsid w:val="00521893"/>
    <w:rsid w:val="00521A85"/>
    <w:rsid w:val="00521DDF"/>
    <w:rsid w:val="00522095"/>
    <w:rsid w:val="00522100"/>
    <w:rsid w:val="005221D5"/>
    <w:rsid w:val="0052228A"/>
    <w:rsid w:val="0052335E"/>
    <w:rsid w:val="00523C57"/>
    <w:rsid w:val="0052404C"/>
    <w:rsid w:val="0052414D"/>
    <w:rsid w:val="0052416D"/>
    <w:rsid w:val="0052476A"/>
    <w:rsid w:val="00524A3F"/>
    <w:rsid w:val="00524FB8"/>
    <w:rsid w:val="00526621"/>
    <w:rsid w:val="00527250"/>
    <w:rsid w:val="00527608"/>
    <w:rsid w:val="005276FF"/>
    <w:rsid w:val="00527CEA"/>
    <w:rsid w:val="00527E39"/>
    <w:rsid w:val="0053008E"/>
    <w:rsid w:val="005302BC"/>
    <w:rsid w:val="005305E9"/>
    <w:rsid w:val="00530811"/>
    <w:rsid w:val="00530A78"/>
    <w:rsid w:val="00530E1D"/>
    <w:rsid w:val="00531298"/>
    <w:rsid w:val="005312F1"/>
    <w:rsid w:val="0053159C"/>
    <w:rsid w:val="00531B51"/>
    <w:rsid w:val="0053246B"/>
    <w:rsid w:val="005324E8"/>
    <w:rsid w:val="005328BB"/>
    <w:rsid w:val="00532A4F"/>
    <w:rsid w:val="00532C6D"/>
    <w:rsid w:val="0053313A"/>
    <w:rsid w:val="00533203"/>
    <w:rsid w:val="0053348E"/>
    <w:rsid w:val="00533881"/>
    <w:rsid w:val="005339AA"/>
    <w:rsid w:val="00533BB0"/>
    <w:rsid w:val="005344D9"/>
    <w:rsid w:val="00534564"/>
    <w:rsid w:val="00535071"/>
    <w:rsid w:val="005353E5"/>
    <w:rsid w:val="005361EA"/>
    <w:rsid w:val="0053636D"/>
    <w:rsid w:val="005363A0"/>
    <w:rsid w:val="005363D6"/>
    <w:rsid w:val="00537C28"/>
    <w:rsid w:val="00537EF9"/>
    <w:rsid w:val="005401EE"/>
    <w:rsid w:val="005404CB"/>
    <w:rsid w:val="005405C6"/>
    <w:rsid w:val="00540981"/>
    <w:rsid w:val="00540A64"/>
    <w:rsid w:val="0054155C"/>
    <w:rsid w:val="0054176C"/>
    <w:rsid w:val="00541D1E"/>
    <w:rsid w:val="00541E31"/>
    <w:rsid w:val="005421B9"/>
    <w:rsid w:val="00542AF5"/>
    <w:rsid w:val="00542B20"/>
    <w:rsid w:val="00542C73"/>
    <w:rsid w:val="005430AE"/>
    <w:rsid w:val="00543238"/>
    <w:rsid w:val="00543F37"/>
    <w:rsid w:val="00543F68"/>
    <w:rsid w:val="00544B3A"/>
    <w:rsid w:val="00545B9A"/>
    <w:rsid w:val="00546460"/>
    <w:rsid w:val="00546912"/>
    <w:rsid w:val="00547269"/>
    <w:rsid w:val="005477B2"/>
    <w:rsid w:val="0054790B"/>
    <w:rsid w:val="005479A2"/>
    <w:rsid w:val="00547FF7"/>
    <w:rsid w:val="00550879"/>
    <w:rsid w:val="00550A21"/>
    <w:rsid w:val="0055117B"/>
    <w:rsid w:val="0055166F"/>
    <w:rsid w:val="00551A5A"/>
    <w:rsid w:val="00551CA8"/>
    <w:rsid w:val="00551FF3"/>
    <w:rsid w:val="00552A43"/>
    <w:rsid w:val="00552EDF"/>
    <w:rsid w:val="00553E6D"/>
    <w:rsid w:val="00553F9F"/>
    <w:rsid w:val="0055422F"/>
    <w:rsid w:val="00554731"/>
    <w:rsid w:val="00555388"/>
    <w:rsid w:val="00555537"/>
    <w:rsid w:val="00555927"/>
    <w:rsid w:val="00555C58"/>
    <w:rsid w:val="00556744"/>
    <w:rsid w:val="00556B0A"/>
    <w:rsid w:val="00556C08"/>
    <w:rsid w:val="00556D27"/>
    <w:rsid w:val="00557191"/>
    <w:rsid w:val="00557270"/>
    <w:rsid w:val="0055744C"/>
    <w:rsid w:val="005577F1"/>
    <w:rsid w:val="00557CC2"/>
    <w:rsid w:val="00560798"/>
    <w:rsid w:val="005607A8"/>
    <w:rsid w:val="00560A9A"/>
    <w:rsid w:val="005614B4"/>
    <w:rsid w:val="00561E17"/>
    <w:rsid w:val="005622EA"/>
    <w:rsid w:val="00562738"/>
    <w:rsid w:val="0056279B"/>
    <w:rsid w:val="00562A72"/>
    <w:rsid w:val="0056304A"/>
    <w:rsid w:val="00563196"/>
    <w:rsid w:val="005634FD"/>
    <w:rsid w:val="00563F5E"/>
    <w:rsid w:val="005644C7"/>
    <w:rsid w:val="005645FD"/>
    <w:rsid w:val="00564A98"/>
    <w:rsid w:val="00564B9F"/>
    <w:rsid w:val="00564C51"/>
    <w:rsid w:val="00564DBA"/>
    <w:rsid w:val="005650CE"/>
    <w:rsid w:val="0056530D"/>
    <w:rsid w:val="00565335"/>
    <w:rsid w:val="00565462"/>
    <w:rsid w:val="00565484"/>
    <w:rsid w:val="005661B0"/>
    <w:rsid w:val="005662E8"/>
    <w:rsid w:val="00566376"/>
    <w:rsid w:val="005667A2"/>
    <w:rsid w:val="0056707A"/>
    <w:rsid w:val="005671BD"/>
    <w:rsid w:val="005673C1"/>
    <w:rsid w:val="005676C4"/>
    <w:rsid w:val="005676CC"/>
    <w:rsid w:val="0057023C"/>
    <w:rsid w:val="00570401"/>
    <w:rsid w:val="005705F1"/>
    <w:rsid w:val="005709AD"/>
    <w:rsid w:val="00570B5E"/>
    <w:rsid w:val="00570C5D"/>
    <w:rsid w:val="00570CA3"/>
    <w:rsid w:val="0057105C"/>
    <w:rsid w:val="00571086"/>
    <w:rsid w:val="00571EBC"/>
    <w:rsid w:val="00571F99"/>
    <w:rsid w:val="00573D93"/>
    <w:rsid w:val="005742CB"/>
    <w:rsid w:val="005743FA"/>
    <w:rsid w:val="00574976"/>
    <w:rsid w:val="005751B4"/>
    <w:rsid w:val="00575497"/>
    <w:rsid w:val="005758B9"/>
    <w:rsid w:val="00575DAD"/>
    <w:rsid w:val="00576627"/>
    <w:rsid w:val="005768BB"/>
    <w:rsid w:val="00576D2E"/>
    <w:rsid w:val="00576DBA"/>
    <w:rsid w:val="005773DB"/>
    <w:rsid w:val="00577416"/>
    <w:rsid w:val="00577D3C"/>
    <w:rsid w:val="00577D59"/>
    <w:rsid w:val="00577F16"/>
    <w:rsid w:val="0058059A"/>
    <w:rsid w:val="005806A5"/>
    <w:rsid w:val="00581201"/>
    <w:rsid w:val="00581399"/>
    <w:rsid w:val="00581546"/>
    <w:rsid w:val="005816B8"/>
    <w:rsid w:val="00581742"/>
    <w:rsid w:val="005821C8"/>
    <w:rsid w:val="0058238E"/>
    <w:rsid w:val="005823DA"/>
    <w:rsid w:val="00582593"/>
    <w:rsid w:val="00582716"/>
    <w:rsid w:val="005827D8"/>
    <w:rsid w:val="0058308D"/>
    <w:rsid w:val="00583337"/>
    <w:rsid w:val="00584258"/>
    <w:rsid w:val="005842A8"/>
    <w:rsid w:val="00584771"/>
    <w:rsid w:val="00584CFB"/>
    <w:rsid w:val="00585185"/>
    <w:rsid w:val="00585523"/>
    <w:rsid w:val="005856D5"/>
    <w:rsid w:val="00585AF6"/>
    <w:rsid w:val="00585B69"/>
    <w:rsid w:val="00585D7D"/>
    <w:rsid w:val="00585E98"/>
    <w:rsid w:val="00585ED1"/>
    <w:rsid w:val="00586249"/>
    <w:rsid w:val="0058634E"/>
    <w:rsid w:val="00586679"/>
    <w:rsid w:val="00586A1C"/>
    <w:rsid w:val="00586A2A"/>
    <w:rsid w:val="00586D6E"/>
    <w:rsid w:val="00586E19"/>
    <w:rsid w:val="00587208"/>
    <w:rsid w:val="005872C9"/>
    <w:rsid w:val="00587326"/>
    <w:rsid w:val="005877E1"/>
    <w:rsid w:val="00587903"/>
    <w:rsid w:val="00590746"/>
    <w:rsid w:val="00590F2B"/>
    <w:rsid w:val="005916F8"/>
    <w:rsid w:val="00591B66"/>
    <w:rsid w:val="00591BD3"/>
    <w:rsid w:val="0059229D"/>
    <w:rsid w:val="00592398"/>
    <w:rsid w:val="00592422"/>
    <w:rsid w:val="005925F8"/>
    <w:rsid w:val="0059260B"/>
    <w:rsid w:val="00592B2A"/>
    <w:rsid w:val="0059379D"/>
    <w:rsid w:val="00593F28"/>
    <w:rsid w:val="0059417D"/>
    <w:rsid w:val="00594225"/>
    <w:rsid w:val="005943BB"/>
    <w:rsid w:val="0059485C"/>
    <w:rsid w:val="00594EAE"/>
    <w:rsid w:val="005959DF"/>
    <w:rsid w:val="00595FFC"/>
    <w:rsid w:val="005960B0"/>
    <w:rsid w:val="005960C0"/>
    <w:rsid w:val="0059635E"/>
    <w:rsid w:val="005968B8"/>
    <w:rsid w:val="00596A20"/>
    <w:rsid w:val="00596EE8"/>
    <w:rsid w:val="005973BD"/>
    <w:rsid w:val="00597442"/>
    <w:rsid w:val="00597483"/>
    <w:rsid w:val="00597669"/>
    <w:rsid w:val="005A02A7"/>
    <w:rsid w:val="005A033C"/>
    <w:rsid w:val="005A0606"/>
    <w:rsid w:val="005A0BEF"/>
    <w:rsid w:val="005A0E3A"/>
    <w:rsid w:val="005A0EC3"/>
    <w:rsid w:val="005A12A5"/>
    <w:rsid w:val="005A14EA"/>
    <w:rsid w:val="005A15FD"/>
    <w:rsid w:val="005A1E43"/>
    <w:rsid w:val="005A1FD6"/>
    <w:rsid w:val="005A2370"/>
    <w:rsid w:val="005A24DB"/>
    <w:rsid w:val="005A284A"/>
    <w:rsid w:val="005A289C"/>
    <w:rsid w:val="005A2A08"/>
    <w:rsid w:val="005A2AC3"/>
    <w:rsid w:val="005A2C1A"/>
    <w:rsid w:val="005A3315"/>
    <w:rsid w:val="005A39AB"/>
    <w:rsid w:val="005A3D6B"/>
    <w:rsid w:val="005A3F2F"/>
    <w:rsid w:val="005A42C5"/>
    <w:rsid w:val="005A4F8A"/>
    <w:rsid w:val="005A5F44"/>
    <w:rsid w:val="005A6061"/>
    <w:rsid w:val="005A6375"/>
    <w:rsid w:val="005A6463"/>
    <w:rsid w:val="005A64B3"/>
    <w:rsid w:val="005A6792"/>
    <w:rsid w:val="005A6995"/>
    <w:rsid w:val="005A6DDC"/>
    <w:rsid w:val="005A6FD2"/>
    <w:rsid w:val="005A7AA6"/>
    <w:rsid w:val="005A7C3C"/>
    <w:rsid w:val="005A7CF9"/>
    <w:rsid w:val="005B076C"/>
    <w:rsid w:val="005B09A3"/>
    <w:rsid w:val="005B0DBD"/>
    <w:rsid w:val="005B14DA"/>
    <w:rsid w:val="005B18C9"/>
    <w:rsid w:val="005B1E57"/>
    <w:rsid w:val="005B227D"/>
    <w:rsid w:val="005B26A9"/>
    <w:rsid w:val="005B2806"/>
    <w:rsid w:val="005B2AC4"/>
    <w:rsid w:val="005B2C5D"/>
    <w:rsid w:val="005B2CF2"/>
    <w:rsid w:val="005B311E"/>
    <w:rsid w:val="005B33AC"/>
    <w:rsid w:val="005B38D6"/>
    <w:rsid w:val="005B3FB1"/>
    <w:rsid w:val="005B4339"/>
    <w:rsid w:val="005B43CC"/>
    <w:rsid w:val="005B4522"/>
    <w:rsid w:val="005B4826"/>
    <w:rsid w:val="005B4893"/>
    <w:rsid w:val="005B4B1A"/>
    <w:rsid w:val="005B5489"/>
    <w:rsid w:val="005B5558"/>
    <w:rsid w:val="005B56CD"/>
    <w:rsid w:val="005B57C5"/>
    <w:rsid w:val="005B587D"/>
    <w:rsid w:val="005B5BD5"/>
    <w:rsid w:val="005B5E2D"/>
    <w:rsid w:val="005B5EEF"/>
    <w:rsid w:val="005B60B2"/>
    <w:rsid w:val="005B6B60"/>
    <w:rsid w:val="005B6C8B"/>
    <w:rsid w:val="005B6FC1"/>
    <w:rsid w:val="005B7526"/>
    <w:rsid w:val="005B7A20"/>
    <w:rsid w:val="005C0609"/>
    <w:rsid w:val="005C0A86"/>
    <w:rsid w:val="005C0CEA"/>
    <w:rsid w:val="005C0E78"/>
    <w:rsid w:val="005C0ED2"/>
    <w:rsid w:val="005C10DC"/>
    <w:rsid w:val="005C1301"/>
    <w:rsid w:val="005C14EC"/>
    <w:rsid w:val="005C1D0A"/>
    <w:rsid w:val="005C1ED8"/>
    <w:rsid w:val="005C1FB1"/>
    <w:rsid w:val="005C1FD7"/>
    <w:rsid w:val="005C2690"/>
    <w:rsid w:val="005C27A5"/>
    <w:rsid w:val="005C2E51"/>
    <w:rsid w:val="005C3345"/>
    <w:rsid w:val="005C3471"/>
    <w:rsid w:val="005C397E"/>
    <w:rsid w:val="005C3A6B"/>
    <w:rsid w:val="005C41A0"/>
    <w:rsid w:val="005C49CA"/>
    <w:rsid w:val="005C4F0B"/>
    <w:rsid w:val="005C530A"/>
    <w:rsid w:val="005C566F"/>
    <w:rsid w:val="005C5A5B"/>
    <w:rsid w:val="005C5FFA"/>
    <w:rsid w:val="005C62F0"/>
    <w:rsid w:val="005C63E8"/>
    <w:rsid w:val="005C65E2"/>
    <w:rsid w:val="005C6C44"/>
    <w:rsid w:val="005C6CE0"/>
    <w:rsid w:val="005C74F6"/>
    <w:rsid w:val="005C7D68"/>
    <w:rsid w:val="005C7F7F"/>
    <w:rsid w:val="005D012E"/>
    <w:rsid w:val="005D0D53"/>
    <w:rsid w:val="005D124D"/>
    <w:rsid w:val="005D139D"/>
    <w:rsid w:val="005D1999"/>
    <w:rsid w:val="005D1DD2"/>
    <w:rsid w:val="005D1DE4"/>
    <w:rsid w:val="005D2359"/>
    <w:rsid w:val="005D244F"/>
    <w:rsid w:val="005D248B"/>
    <w:rsid w:val="005D286E"/>
    <w:rsid w:val="005D2943"/>
    <w:rsid w:val="005D2AC4"/>
    <w:rsid w:val="005D2F6E"/>
    <w:rsid w:val="005D3692"/>
    <w:rsid w:val="005D4421"/>
    <w:rsid w:val="005D457E"/>
    <w:rsid w:val="005D4800"/>
    <w:rsid w:val="005D4BAC"/>
    <w:rsid w:val="005D4DFD"/>
    <w:rsid w:val="005D4F2C"/>
    <w:rsid w:val="005D4F36"/>
    <w:rsid w:val="005D534E"/>
    <w:rsid w:val="005D5534"/>
    <w:rsid w:val="005D5954"/>
    <w:rsid w:val="005D5CE7"/>
    <w:rsid w:val="005D5CF9"/>
    <w:rsid w:val="005D6838"/>
    <w:rsid w:val="005D6946"/>
    <w:rsid w:val="005D6F0B"/>
    <w:rsid w:val="005D70AA"/>
    <w:rsid w:val="005D7455"/>
    <w:rsid w:val="005D76DE"/>
    <w:rsid w:val="005D7771"/>
    <w:rsid w:val="005D7C84"/>
    <w:rsid w:val="005E000C"/>
    <w:rsid w:val="005E0250"/>
    <w:rsid w:val="005E0497"/>
    <w:rsid w:val="005E0648"/>
    <w:rsid w:val="005E0840"/>
    <w:rsid w:val="005E0B9D"/>
    <w:rsid w:val="005E0DB4"/>
    <w:rsid w:val="005E2051"/>
    <w:rsid w:val="005E20F4"/>
    <w:rsid w:val="005E21F9"/>
    <w:rsid w:val="005E26E9"/>
    <w:rsid w:val="005E2AAC"/>
    <w:rsid w:val="005E2B76"/>
    <w:rsid w:val="005E2F25"/>
    <w:rsid w:val="005E3209"/>
    <w:rsid w:val="005E3322"/>
    <w:rsid w:val="005E382D"/>
    <w:rsid w:val="005E4310"/>
    <w:rsid w:val="005E4CAA"/>
    <w:rsid w:val="005E5475"/>
    <w:rsid w:val="005E6305"/>
    <w:rsid w:val="005E695A"/>
    <w:rsid w:val="005E6E3B"/>
    <w:rsid w:val="005E71AD"/>
    <w:rsid w:val="005E794A"/>
    <w:rsid w:val="005E79BA"/>
    <w:rsid w:val="005E7FAF"/>
    <w:rsid w:val="005F06D1"/>
    <w:rsid w:val="005F0E07"/>
    <w:rsid w:val="005F2588"/>
    <w:rsid w:val="005F28FF"/>
    <w:rsid w:val="005F357F"/>
    <w:rsid w:val="005F3DD4"/>
    <w:rsid w:val="005F4030"/>
    <w:rsid w:val="005F4319"/>
    <w:rsid w:val="005F44B7"/>
    <w:rsid w:val="005F4D97"/>
    <w:rsid w:val="005F4DB2"/>
    <w:rsid w:val="005F51F4"/>
    <w:rsid w:val="005F5237"/>
    <w:rsid w:val="005F5540"/>
    <w:rsid w:val="005F5CCE"/>
    <w:rsid w:val="005F5E5C"/>
    <w:rsid w:val="005F6533"/>
    <w:rsid w:val="005F6748"/>
    <w:rsid w:val="005F717F"/>
    <w:rsid w:val="005F7193"/>
    <w:rsid w:val="005F7704"/>
    <w:rsid w:val="005F7C24"/>
    <w:rsid w:val="00600479"/>
    <w:rsid w:val="006005C6"/>
    <w:rsid w:val="00601808"/>
    <w:rsid w:val="006018CC"/>
    <w:rsid w:val="00601EF0"/>
    <w:rsid w:val="006022DC"/>
    <w:rsid w:val="00602499"/>
    <w:rsid w:val="0060287C"/>
    <w:rsid w:val="00603386"/>
    <w:rsid w:val="006036C5"/>
    <w:rsid w:val="00603727"/>
    <w:rsid w:val="00603CF3"/>
    <w:rsid w:val="00603E48"/>
    <w:rsid w:val="00603F76"/>
    <w:rsid w:val="0060427B"/>
    <w:rsid w:val="006057EA"/>
    <w:rsid w:val="006058EF"/>
    <w:rsid w:val="00605A20"/>
    <w:rsid w:val="00606806"/>
    <w:rsid w:val="00606B63"/>
    <w:rsid w:val="006076B1"/>
    <w:rsid w:val="006077C8"/>
    <w:rsid w:val="006079D7"/>
    <w:rsid w:val="00607BFC"/>
    <w:rsid w:val="00607CFC"/>
    <w:rsid w:val="00607E6E"/>
    <w:rsid w:val="00610195"/>
    <w:rsid w:val="006101E9"/>
    <w:rsid w:val="0061049C"/>
    <w:rsid w:val="00610794"/>
    <w:rsid w:val="006109E8"/>
    <w:rsid w:val="00610C09"/>
    <w:rsid w:val="006115E8"/>
    <w:rsid w:val="006120FA"/>
    <w:rsid w:val="00612D26"/>
    <w:rsid w:val="00613051"/>
    <w:rsid w:val="0061313C"/>
    <w:rsid w:val="0061340C"/>
    <w:rsid w:val="006138D9"/>
    <w:rsid w:val="00613BDD"/>
    <w:rsid w:val="00613DAD"/>
    <w:rsid w:val="0061420B"/>
    <w:rsid w:val="0061448C"/>
    <w:rsid w:val="0061456B"/>
    <w:rsid w:val="00615BE5"/>
    <w:rsid w:val="0061603B"/>
    <w:rsid w:val="00617039"/>
    <w:rsid w:val="00617F30"/>
    <w:rsid w:val="00617F7A"/>
    <w:rsid w:val="00617FD4"/>
    <w:rsid w:val="006204F0"/>
    <w:rsid w:val="00620637"/>
    <w:rsid w:val="0062070D"/>
    <w:rsid w:val="006208EC"/>
    <w:rsid w:val="00620B06"/>
    <w:rsid w:val="00621541"/>
    <w:rsid w:val="00621633"/>
    <w:rsid w:val="00621B1F"/>
    <w:rsid w:val="00621DD8"/>
    <w:rsid w:val="00621F79"/>
    <w:rsid w:val="00621FA1"/>
    <w:rsid w:val="00622046"/>
    <w:rsid w:val="0062286B"/>
    <w:rsid w:val="006228FF"/>
    <w:rsid w:val="00622EB2"/>
    <w:rsid w:val="0062318C"/>
    <w:rsid w:val="0062334F"/>
    <w:rsid w:val="006233EA"/>
    <w:rsid w:val="0062366A"/>
    <w:rsid w:val="00623716"/>
    <w:rsid w:val="00623A16"/>
    <w:rsid w:val="00623DB0"/>
    <w:rsid w:val="00623ED6"/>
    <w:rsid w:val="00623F3B"/>
    <w:rsid w:val="006240A1"/>
    <w:rsid w:val="00624279"/>
    <w:rsid w:val="006247C6"/>
    <w:rsid w:val="00624806"/>
    <w:rsid w:val="00624953"/>
    <w:rsid w:val="00624F40"/>
    <w:rsid w:val="006251E0"/>
    <w:rsid w:val="00625465"/>
    <w:rsid w:val="00625E03"/>
    <w:rsid w:val="006260B9"/>
    <w:rsid w:val="00626226"/>
    <w:rsid w:val="0062679E"/>
    <w:rsid w:val="00626CCD"/>
    <w:rsid w:val="00626D3E"/>
    <w:rsid w:val="00626ED5"/>
    <w:rsid w:val="006274C2"/>
    <w:rsid w:val="006277BF"/>
    <w:rsid w:val="0062799C"/>
    <w:rsid w:val="00627CB6"/>
    <w:rsid w:val="006306F2"/>
    <w:rsid w:val="006324D7"/>
    <w:rsid w:val="00632E78"/>
    <w:rsid w:val="00632EF9"/>
    <w:rsid w:val="00634D40"/>
    <w:rsid w:val="00635010"/>
    <w:rsid w:val="006368F3"/>
    <w:rsid w:val="006370F8"/>
    <w:rsid w:val="00640507"/>
    <w:rsid w:val="00640A08"/>
    <w:rsid w:val="00640AA9"/>
    <w:rsid w:val="00640CE0"/>
    <w:rsid w:val="00640F6F"/>
    <w:rsid w:val="0064182B"/>
    <w:rsid w:val="00641CF9"/>
    <w:rsid w:val="00642576"/>
    <w:rsid w:val="00642C18"/>
    <w:rsid w:val="006433E0"/>
    <w:rsid w:val="00643544"/>
    <w:rsid w:val="006435EC"/>
    <w:rsid w:val="006436AE"/>
    <w:rsid w:val="0064461A"/>
    <w:rsid w:val="0064465A"/>
    <w:rsid w:val="0064470C"/>
    <w:rsid w:val="00644B60"/>
    <w:rsid w:val="00645065"/>
    <w:rsid w:val="0064509D"/>
    <w:rsid w:val="0064574E"/>
    <w:rsid w:val="0064597A"/>
    <w:rsid w:val="00645B84"/>
    <w:rsid w:val="0064679F"/>
    <w:rsid w:val="00646ACC"/>
    <w:rsid w:val="006470B3"/>
    <w:rsid w:val="00647360"/>
    <w:rsid w:val="00647817"/>
    <w:rsid w:val="006479D2"/>
    <w:rsid w:val="00650F0E"/>
    <w:rsid w:val="006517A6"/>
    <w:rsid w:val="0065180C"/>
    <w:rsid w:val="00651B20"/>
    <w:rsid w:val="00652405"/>
    <w:rsid w:val="006524B8"/>
    <w:rsid w:val="00652811"/>
    <w:rsid w:val="00652A11"/>
    <w:rsid w:val="00652D0C"/>
    <w:rsid w:val="006532DD"/>
    <w:rsid w:val="0065335F"/>
    <w:rsid w:val="006533BE"/>
    <w:rsid w:val="0065397C"/>
    <w:rsid w:val="00653B54"/>
    <w:rsid w:val="00654248"/>
    <w:rsid w:val="00654522"/>
    <w:rsid w:val="00654D3D"/>
    <w:rsid w:val="00654DB2"/>
    <w:rsid w:val="00655051"/>
    <w:rsid w:val="00655545"/>
    <w:rsid w:val="00655724"/>
    <w:rsid w:val="006557A1"/>
    <w:rsid w:val="0065589C"/>
    <w:rsid w:val="00655C65"/>
    <w:rsid w:val="00656577"/>
    <w:rsid w:val="00656BC4"/>
    <w:rsid w:val="00656D7F"/>
    <w:rsid w:val="00656FA0"/>
    <w:rsid w:val="0065768F"/>
    <w:rsid w:val="00657D3A"/>
    <w:rsid w:val="00657F08"/>
    <w:rsid w:val="006604EE"/>
    <w:rsid w:val="00660D3B"/>
    <w:rsid w:val="006610C4"/>
    <w:rsid w:val="00661C40"/>
    <w:rsid w:val="00662073"/>
    <w:rsid w:val="006621EF"/>
    <w:rsid w:val="0066228A"/>
    <w:rsid w:val="006622DD"/>
    <w:rsid w:val="00662346"/>
    <w:rsid w:val="006623A4"/>
    <w:rsid w:val="0066266C"/>
    <w:rsid w:val="00662B24"/>
    <w:rsid w:val="00663C34"/>
    <w:rsid w:val="00663F10"/>
    <w:rsid w:val="00663FB4"/>
    <w:rsid w:val="00664AB3"/>
    <w:rsid w:val="00664D80"/>
    <w:rsid w:val="00664F08"/>
    <w:rsid w:val="00666934"/>
    <w:rsid w:val="006671D4"/>
    <w:rsid w:val="00667239"/>
    <w:rsid w:val="0066777A"/>
    <w:rsid w:val="00667D35"/>
    <w:rsid w:val="006705E0"/>
    <w:rsid w:val="006709F8"/>
    <w:rsid w:val="00671E4A"/>
    <w:rsid w:val="006720A1"/>
    <w:rsid w:val="0067259A"/>
    <w:rsid w:val="00672F37"/>
    <w:rsid w:val="00672F45"/>
    <w:rsid w:val="006730E2"/>
    <w:rsid w:val="00673411"/>
    <w:rsid w:val="00673BF5"/>
    <w:rsid w:val="00673C88"/>
    <w:rsid w:val="006743F3"/>
    <w:rsid w:val="006746EE"/>
    <w:rsid w:val="00675334"/>
    <w:rsid w:val="006755B8"/>
    <w:rsid w:val="00675609"/>
    <w:rsid w:val="00675D21"/>
    <w:rsid w:val="00675DB0"/>
    <w:rsid w:val="00675FD2"/>
    <w:rsid w:val="00676134"/>
    <w:rsid w:val="00676E09"/>
    <w:rsid w:val="0067720E"/>
    <w:rsid w:val="006772A7"/>
    <w:rsid w:val="00677658"/>
    <w:rsid w:val="00677698"/>
    <w:rsid w:val="00677A9E"/>
    <w:rsid w:val="00677E3B"/>
    <w:rsid w:val="00677F53"/>
    <w:rsid w:val="006800A1"/>
    <w:rsid w:val="00680118"/>
    <w:rsid w:val="00680299"/>
    <w:rsid w:val="00680324"/>
    <w:rsid w:val="00680614"/>
    <w:rsid w:val="00680AF3"/>
    <w:rsid w:val="00680FD6"/>
    <w:rsid w:val="00681811"/>
    <w:rsid w:val="006821FF"/>
    <w:rsid w:val="006824B5"/>
    <w:rsid w:val="00682A52"/>
    <w:rsid w:val="00682D76"/>
    <w:rsid w:val="0068332B"/>
    <w:rsid w:val="006834E5"/>
    <w:rsid w:val="00683CC5"/>
    <w:rsid w:val="00683F60"/>
    <w:rsid w:val="00684135"/>
    <w:rsid w:val="0068417C"/>
    <w:rsid w:val="00684228"/>
    <w:rsid w:val="00684BD1"/>
    <w:rsid w:val="006851F7"/>
    <w:rsid w:val="0068530F"/>
    <w:rsid w:val="006853D3"/>
    <w:rsid w:val="00685A21"/>
    <w:rsid w:val="00685E21"/>
    <w:rsid w:val="00685EF6"/>
    <w:rsid w:val="00685FDE"/>
    <w:rsid w:val="00686102"/>
    <w:rsid w:val="0068631A"/>
    <w:rsid w:val="0068676D"/>
    <w:rsid w:val="00686AE8"/>
    <w:rsid w:val="00686D05"/>
    <w:rsid w:val="00686F05"/>
    <w:rsid w:val="006877F7"/>
    <w:rsid w:val="00687C05"/>
    <w:rsid w:val="00687C07"/>
    <w:rsid w:val="00687F0D"/>
    <w:rsid w:val="00687FFC"/>
    <w:rsid w:val="00690935"/>
    <w:rsid w:val="00690939"/>
    <w:rsid w:val="00690ACB"/>
    <w:rsid w:val="00690CC7"/>
    <w:rsid w:val="00690D29"/>
    <w:rsid w:val="006912CB"/>
    <w:rsid w:val="006915B8"/>
    <w:rsid w:val="006916F5"/>
    <w:rsid w:val="006917A0"/>
    <w:rsid w:val="00691AE4"/>
    <w:rsid w:val="00691BDB"/>
    <w:rsid w:val="00692091"/>
    <w:rsid w:val="006921D5"/>
    <w:rsid w:val="00692417"/>
    <w:rsid w:val="00692AD9"/>
    <w:rsid w:val="006932C3"/>
    <w:rsid w:val="00693319"/>
    <w:rsid w:val="0069396D"/>
    <w:rsid w:val="00693A67"/>
    <w:rsid w:val="00693BA7"/>
    <w:rsid w:val="00693E0D"/>
    <w:rsid w:val="00693E66"/>
    <w:rsid w:val="0069479E"/>
    <w:rsid w:val="00694BCD"/>
    <w:rsid w:val="00694EE8"/>
    <w:rsid w:val="00694F38"/>
    <w:rsid w:val="00695246"/>
    <w:rsid w:val="0069525F"/>
    <w:rsid w:val="0069636D"/>
    <w:rsid w:val="00696650"/>
    <w:rsid w:val="00696741"/>
    <w:rsid w:val="00697A09"/>
    <w:rsid w:val="00697E75"/>
    <w:rsid w:val="00697EEF"/>
    <w:rsid w:val="006A00A0"/>
    <w:rsid w:val="006A0567"/>
    <w:rsid w:val="006A0712"/>
    <w:rsid w:val="006A18C5"/>
    <w:rsid w:val="006A1C6A"/>
    <w:rsid w:val="006A1DC8"/>
    <w:rsid w:val="006A2518"/>
    <w:rsid w:val="006A2630"/>
    <w:rsid w:val="006A2932"/>
    <w:rsid w:val="006A2A5A"/>
    <w:rsid w:val="006A2E44"/>
    <w:rsid w:val="006A2FBD"/>
    <w:rsid w:val="006A3054"/>
    <w:rsid w:val="006A33EB"/>
    <w:rsid w:val="006A34E4"/>
    <w:rsid w:val="006A37FF"/>
    <w:rsid w:val="006A3925"/>
    <w:rsid w:val="006A3B48"/>
    <w:rsid w:val="006A3ED0"/>
    <w:rsid w:val="006A3FB5"/>
    <w:rsid w:val="006A4065"/>
    <w:rsid w:val="006A4659"/>
    <w:rsid w:val="006A4AF9"/>
    <w:rsid w:val="006A4BE8"/>
    <w:rsid w:val="006A5D32"/>
    <w:rsid w:val="006A5DF8"/>
    <w:rsid w:val="006A6052"/>
    <w:rsid w:val="006A61A4"/>
    <w:rsid w:val="006A6877"/>
    <w:rsid w:val="006A6A42"/>
    <w:rsid w:val="006A73C6"/>
    <w:rsid w:val="006A75B7"/>
    <w:rsid w:val="006A7A30"/>
    <w:rsid w:val="006A7AD2"/>
    <w:rsid w:val="006B01DA"/>
    <w:rsid w:val="006B024F"/>
    <w:rsid w:val="006B02CC"/>
    <w:rsid w:val="006B1A67"/>
    <w:rsid w:val="006B2002"/>
    <w:rsid w:val="006B2782"/>
    <w:rsid w:val="006B28F5"/>
    <w:rsid w:val="006B35E6"/>
    <w:rsid w:val="006B3728"/>
    <w:rsid w:val="006B37E2"/>
    <w:rsid w:val="006B471D"/>
    <w:rsid w:val="006B4755"/>
    <w:rsid w:val="006B4845"/>
    <w:rsid w:val="006B4DE4"/>
    <w:rsid w:val="006B50B4"/>
    <w:rsid w:val="006B52C5"/>
    <w:rsid w:val="006B53C6"/>
    <w:rsid w:val="006B5461"/>
    <w:rsid w:val="006B640B"/>
    <w:rsid w:val="006B6903"/>
    <w:rsid w:val="006B744D"/>
    <w:rsid w:val="006B7553"/>
    <w:rsid w:val="006B7723"/>
    <w:rsid w:val="006C0077"/>
    <w:rsid w:val="006C0DE1"/>
    <w:rsid w:val="006C1029"/>
    <w:rsid w:val="006C103C"/>
    <w:rsid w:val="006C12DC"/>
    <w:rsid w:val="006C13E4"/>
    <w:rsid w:val="006C1415"/>
    <w:rsid w:val="006C296F"/>
    <w:rsid w:val="006C2E4F"/>
    <w:rsid w:val="006C2FB8"/>
    <w:rsid w:val="006C3B22"/>
    <w:rsid w:val="006C4092"/>
    <w:rsid w:val="006C40A8"/>
    <w:rsid w:val="006C43B1"/>
    <w:rsid w:val="006C44EE"/>
    <w:rsid w:val="006C4BB5"/>
    <w:rsid w:val="006C5278"/>
    <w:rsid w:val="006C5409"/>
    <w:rsid w:val="006C5A4D"/>
    <w:rsid w:val="006C5FE5"/>
    <w:rsid w:val="006C66E3"/>
    <w:rsid w:val="006C6842"/>
    <w:rsid w:val="006C6BAC"/>
    <w:rsid w:val="006C6C6A"/>
    <w:rsid w:val="006C6EB6"/>
    <w:rsid w:val="006C6F8C"/>
    <w:rsid w:val="006C7519"/>
    <w:rsid w:val="006C7743"/>
    <w:rsid w:val="006C7A64"/>
    <w:rsid w:val="006C7AB7"/>
    <w:rsid w:val="006C7D25"/>
    <w:rsid w:val="006D056C"/>
    <w:rsid w:val="006D0C53"/>
    <w:rsid w:val="006D0F08"/>
    <w:rsid w:val="006D0F22"/>
    <w:rsid w:val="006D14DF"/>
    <w:rsid w:val="006D1531"/>
    <w:rsid w:val="006D1C0C"/>
    <w:rsid w:val="006D1FCF"/>
    <w:rsid w:val="006D2A2E"/>
    <w:rsid w:val="006D2F0A"/>
    <w:rsid w:val="006D3174"/>
    <w:rsid w:val="006D3D7D"/>
    <w:rsid w:val="006D51D9"/>
    <w:rsid w:val="006D5406"/>
    <w:rsid w:val="006D542A"/>
    <w:rsid w:val="006D5AF9"/>
    <w:rsid w:val="006D5E70"/>
    <w:rsid w:val="006D5FDF"/>
    <w:rsid w:val="006D5FEB"/>
    <w:rsid w:val="006D60C1"/>
    <w:rsid w:val="006D6691"/>
    <w:rsid w:val="006D6994"/>
    <w:rsid w:val="006D7079"/>
    <w:rsid w:val="006D7197"/>
    <w:rsid w:val="006D735A"/>
    <w:rsid w:val="006D7629"/>
    <w:rsid w:val="006D7894"/>
    <w:rsid w:val="006D793C"/>
    <w:rsid w:val="006E089E"/>
    <w:rsid w:val="006E0AB4"/>
    <w:rsid w:val="006E0D9B"/>
    <w:rsid w:val="006E0DD7"/>
    <w:rsid w:val="006E0E72"/>
    <w:rsid w:val="006E0F22"/>
    <w:rsid w:val="006E0F24"/>
    <w:rsid w:val="006E111A"/>
    <w:rsid w:val="006E161F"/>
    <w:rsid w:val="006E1E52"/>
    <w:rsid w:val="006E1ED4"/>
    <w:rsid w:val="006E20C5"/>
    <w:rsid w:val="006E28FB"/>
    <w:rsid w:val="006E2CAB"/>
    <w:rsid w:val="006E3240"/>
    <w:rsid w:val="006E3A3E"/>
    <w:rsid w:val="006E3F7E"/>
    <w:rsid w:val="006E409C"/>
    <w:rsid w:val="006E4221"/>
    <w:rsid w:val="006E47FE"/>
    <w:rsid w:val="006E4817"/>
    <w:rsid w:val="006E481F"/>
    <w:rsid w:val="006E48F5"/>
    <w:rsid w:val="006E4B3D"/>
    <w:rsid w:val="006E4CEC"/>
    <w:rsid w:val="006E4E64"/>
    <w:rsid w:val="006E4E8A"/>
    <w:rsid w:val="006E5532"/>
    <w:rsid w:val="006E5698"/>
    <w:rsid w:val="006E6445"/>
    <w:rsid w:val="006E6813"/>
    <w:rsid w:val="006E6B41"/>
    <w:rsid w:val="006E6BAD"/>
    <w:rsid w:val="006E6EF0"/>
    <w:rsid w:val="006E6F2D"/>
    <w:rsid w:val="006E7860"/>
    <w:rsid w:val="006E7A05"/>
    <w:rsid w:val="006F004E"/>
    <w:rsid w:val="006F0473"/>
    <w:rsid w:val="006F0D72"/>
    <w:rsid w:val="006F153E"/>
    <w:rsid w:val="006F179B"/>
    <w:rsid w:val="006F17A5"/>
    <w:rsid w:val="006F19D9"/>
    <w:rsid w:val="006F1D55"/>
    <w:rsid w:val="006F1D57"/>
    <w:rsid w:val="006F1F0B"/>
    <w:rsid w:val="006F1F18"/>
    <w:rsid w:val="006F21FF"/>
    <w:rsid w:val="006F2520"/>
    <w:rsid w:val="006F2AAE"/>
    <w:rsid w:val="006F2B6F"/>
    <w:rsid w:val="006F2CD5"/>
    <w:rsid w:val="006F2DF7"/>
    <w:rsid w:val="006F36F4"/>
    <w:rsid w:val="006F3893"/>
    <w:rsid w:val="006F3BF7"/>
    <w:rsid w:val="006F401A"/>
    <w:rsid w:val="006F4869"/>
    <w:rsid w:val="006F4984"/>
    <w:rsid w:val="006F4C18"/>
    <w:rsid w:val="006F5F5A"/>
    <w:rsid w:val="006F5FEE"/>
    <w:rsid w:val="006F6032"/>
    <w:rsid w:val="006F62FC"/>
    <w:rsid w:val="006F676B"/>
    <w:rsid w:val="006F6A8E"/>
    <w:rsid w:val="006F6EA9"/>
    <w:rsid w:val="006F715C"/>
    <w:rsid w:val="006F76A8"/>
    <w:rsid w:val="006F773D"/>
    <w:rsid w:val="006F7B09"/>
    <w:rsid w:val="007002A2"/>
    <w:rsid w:val="00700778"/>
    <w:rsid w:val="00700849"/>
    <w:rsid w:val="00700BBC"/>
    <w:rsid w:val="00700E96"/>
    <w:rsid w:val="00701BEF"/>
    <w:rsid w:val="00701C13"/>
    <w:rsid w:val="00701CB0"/>
    <w:rsid w:val="00702445"/>
    <w:rsid w:val="00702636"/>
    <w:rsid w:val="0070270B"/>
    <w:rsid w:val="007029A7"/>
    <w:rsid w:val="0070332C"/>
    <w:rsid w:val="007034D6"/>
    <w:rsid w:val="00703C78"/>
    <w:rsid w:val="00703D72"/>
    <w:rsid w:val="00704835"/>
    <w:rsid w:val="00705E18"/>
    <w:rsid w:val="00705F94"/>
    <w:rsid w:val="00706559"/>
    <w:rsid w:val="00706CB4"/>
    <w:rsid w:val="00706E8F"/>
    <w:rsid w:val="007071BE"/>
    <w:rsid w:val="007072C8"/>
    <w:rsid w:val="00707480"/>
    <w:rsid w:val="00707607"/>
    <w:rsid w:val="00707878"/>
    <w:rsid w:val="00707AA5"/>
    <w:rsid w:val="00707BED"/>
    <w:rsid w:val="00707EF7"/>
    <w:rsid w:val="00710382"/>
    <w:rsid w:val="00710983"/>
    <w:rsid w:val="00710D15"/>
    <w:rsid w:val="00710EB6"/>
    <w:rsid w:val="0071202E"/>
    <w:rsid w:val="00712426"/>
    <w:rsid w:val="00712882"/>
    <w:rsid w:val="00712FD5"/>
    <w:rsid w:val="00713280"/>
    <w:rsid w:val="007133D8"/>
    <w:rsid w:val="007134CD"/>
    <w:rsid w:val="00713829"/>
    <w:rsid w:val="00714082"/>
    <w:rsid w:val="00714186"/>
    <w:rsid w:val="0071432D"/>
    <w:rsid w:val="00714684"/>
    <w:rsid w:val="007146A4"/>
    <w:rsid w:val="00714722"/>
    <w:rsid w:val="0071499E"/>
    <w:rsid w:val="00714B17"/>
    <w:rsid w:val="007152C3"/>
    <w:rsid w:val="00715612"/>
    <w:rsid w:val="00715D58"/>
    <w:rsid w:val="00715F6C"/>
    <w:rsid w:val="00716EC0"/>
    <w:rsid w:val="00716EFC"/>
    <w:rsid w:val="00717026"/>
    <w:rsid w:val="00717064"/>
    <w:rsid w:val="00717312"/>
    <w:rsid w:val="007178EE"/>
    <w:rsid w:val="00717919"/>
    <w:rsid w:val="00717B50"/>
    <w:rsid w:val="00717F20"/>
    <w:rsid w:val="00720054"/>
    <w:rsid w:val="007204E0"/>
    <w:rsid w:val="007206DF"/>
    <w:rsid w:val="00720CFE"/>
    <w:rsid w:val="00720ECE"/>
    <w:rsid w:val="007211B1"/>
    <w:rsid w:val="00721257"/>
    <w:rsid w:val="0072127D"/>
    <w:rsid w:val="00721666"/>
    <w:rsid w:val="00721973"/>
    <w:rsid w:val="00721AD6"/>
    <w:rsid w:val="00721C76"/>
    <w:rsid w:val="0072209B"/>
    <w:rsid w:val="007220B3"/>
    <w:rsid w:val="007221E9"/>
    <w:rsid w:val="0072299C"/>
    <w:rsid w:val="00722AAC"/>
    <w:rsid w:val="007232B4"/>
    <w:rsid w:val="007232C6"/>
    <w:rsid w:val="00723E92"/>
    <w:rsid w:val="00723E9B"/>
    <w:rsid w:val="007245DE"/>
    <w:rsid w:val="00724854"/>
    <w:rsid w:val="00724A92"/>
    <w:rsid w:val="00724ACB"/>
    <w:rsid w:val="00724F68"/>
    <w:rsid w:val="007250DC"/>
    <w:rsid w:val="00725372"/>
    <w:rsid w:val="00725474"/>
    <w:rsid w:val="00725665"/>
    <w:rsid w:val="00725F1D"/>
    <w:rsid w:val="00726235"/>
    <w:rsid w:val="007266DD"/>
    <w:rsid w:val="00726F16"/>
    <w:rsid w:val="00727217"/>
    <w:rsid w:val="00727BAB"/>
    <w:rsid w:val="00727D77"/>
    <w:rsid w:val="007300E8"/>
    <w:rsid w:val="00730285"/>
    <w:rsid w:val="00730962"/>
    <w:rsid w:val="00730E4C"/>
    <w:rsid w:val="00731473"/>
    <w:rsid w:val="00731B0B"/>
    <w:rsid w:val="00731EAE"/>
    <w:rsid w:val="00732F4C"/>
    <w:rsid w:val="00733670"/>
    <w:rsid w:val="00733D31"/>
    <w:rsid w:val="0073403B"/>
    <w:rsid w:val="00734117"/>
    <w:rsid w:val="00734EA8"/>
    <w:rsid w:val="007350C4"/>
    <w:rsid w:val="00735233"/>
    <w:rsid w:val="007352E0"/>
    <w:rsid w:val="0073557C"/>
    <w:rsid w:val="0073569A"/>
    <w:rsid w:val="007356D7"/>
    <w:rsid w:val="00735B5A"/>
    <w:rsid w:val="00736295"/>
    <w:rsid w:val="007365F5"/>
    <w:rsid w:val="00736C60"/>
    <w:rsid w:val="00736E53"/>
    <w:rsid w:val="00737205"/>
    <w:rsid w:val="0073726C"/>
    <w:rsid w:val="00737588"/>
    <w:rsid w:val="00737A9E"/>
    <w:rsid w:val="00737F5F"/>
    <w:rsid w:val="007407CB"/>
    <w:rsid w:val="007407D8"/>
    <w:rsid w:val="00741097"/>
    <w:rsid w:val="00741394"/>
    <w:rsid w:val="007419DF"/>
    <w:rsid w:val="00741EF4"/>
    <w:rsid w:val="00742942"/>
    <w:rsid w:val="0074343D"/>
    <w:rsid w:val="00743BE5"/>
    <w:rsid w:val="007440DF"/>
    <w:rsid w:val="007447AB"/>
    <w:rsid w:val="00744E7B"/>
    <w:rsid w:val="00745401"/>
    <w:rsid w:val="007455B8"/>
    <w:rsid w:val="00745ABF"/>
    <w:rsid w:val="00745D9B"/>
    <w:rsid w:val="00745DA5"/>
    <w:rsid w:val="00746249"/>
    <w:rsid w:val="007462CA"/>
    <w:rsid w:val="0074693E"/>
    <w:rsid w:val="00746AB3"/>
    <w:rsid w:val="00746C62"/>
    <w:rsid w:val="00746E58"/>
    <w:rsid w:val="00747B23"/>
    <w:rsid w:val="00747C0B"/>
    <w:rsid w:val="00747E07"/>
    <w:rsid w:val="00747EFC"/>
    <w:rsid w:val="00750311"/>
    <w:rsid w:val="00750415"/>
    <w:rsid w:val="00750961"/>
    <w:rsid w:val="0075140A"/>
    <w:rsid w:val="0075178F"/>
    <w:rsid w:val="00751DE2"/>
    <w:rsid w:val="00751EEB"/>
    <w:rsid w:val="00751F9C"/>
    <w:rsid w:val="0075232B"/>
    <w:rsid w:val="007525DA"/>
    <w:rsid w:val="007525E4"/>
    <w:rsid w:val="007527DD"/>
    <w:rsid w:val="00752AD7"/>
    <w:rsid w:val="00752D44"/>
    <w:rsid w:val="00752EFA"/>
    <w:rsid w:val="00752FDA"/>
    <w:rsid w:val="00753298"/>
    <w:rsid w:val="007533BC"/>
    <w:rsid w:val="00753731"/>
    <w:rsid w:val="0075492F"/>
    <w:rsid w:val="00754A17"/>
    <w:rsid w:val="00754F73"/>
    <w:rsid w:val="00755144"/>
    <w:rsid w:val="00755711"/>
    <w:rsid w:val="0075616A"/>
    <w:rsid w:val="007563EF"/>
    <w:rsid w:val="007564A9"/>
    <w:rsid w:val="00756E07"/>
    <w:rsid w:val="00756E23"/>
    <w:rsid w:val="00756F30"/>
    <w:rsid w:val="00757414"/>
    <w:rsid w:val="00757673"/>
    <w:rsid w:val="0075769F"/>
    <w:rsid w:val="00757952"/>
    <w:rsid w:val="00760551"/>
    <w:rsid w:val="007607DF"/>
    <w:rsid w:val="00760BC3"/>
    <w:rsid w:val="0076178E"/>
    <w:rsid w:val="00761946"/>
    <w:rsid w:val="00762847"/>
    <w:rsid w:val="00763364"/>
    <w:rsid w:val="007636D9"/>
    <w:rsid w:val="00763837"/>
    <w:rsid w:val="00763AA5"/>
    <w:rsid w:val="00763EA9"/>
    <w:rsid w:val="0076417F"/>
    <w:rsid w:val="00764219"/>
    <w:rsid w:val="007643DD"/>
    <w:rsid w:val="007647AB"/>
    <w:rsid w:val="007648EC"/>
    <w:rsid w:val="00764ECC"/>
    <w:rsid w:val="00764FA1"/>
    <w:rsid w:val="00765313"/>
    <w:rsid w:val="007653FB"/>
    <w:rsid w:val="0076554D"/>
    <w:rsid w:val="00765652"/>
    <w:rsid w:val="00765956"/>
    <w:rsid w:val="00765DC2"/>
    <w:rsid w:val="00766062"/>
    <w:rsid w:val="0076668D"/>
    <w:rsid w:val="007666AE"/>
    <w:rsid w:val="00766C42"/>
    <w:rsid w:val="007676C2"/>
    <w:rsid w:val="00767C6E"/>
    <w:rsid w:val="00767D3F"/>
    <w:rsid w:val="00767E6D"/>
    <w:rsid w:val="007708B6"/>
    <w:rsid w:val="00770AAD"/>
    <w:rsid w:val="007711EF"/>
    <w:rsid w:val="00771725"/>
    <w:rsid w:val="00771FB8"/>
    <w:rsid w:val="007725ED"/>
    <w:rsid w:val="00772BDD"/>
    <w:rsid w:val="007731B4"/>
    <w:rsid w:val="007734C9"/>
    <w:rsid w:val="00773632"/>
    <w:rsid w:val="007737F9"/>
    <w:rsid w:val="0077395B"/>
    <w:rsid w:val="007744D1"/>
    <w:rsid w:val="0077499B"/>
    <w:rsid w:val="00775435"/>
    <w:rsid w:val="00775474"/>
    <w:rsid w:val="00775DF4"/>
    <w:rsid w:val="00776862"/>
    <w:rsid w:val="00776B1D"/>
    <w:rsid w:val="00776DE4"/>
    <w:rsid w:val="00777383"/>
    <w:rsid w:val="00777CFB"/>
    <w:rsid w:val="00777DAE"/>
    <w:rsid w:val="007803AB"/>
    <w:rsid w:val="007809CE"/>
    <w:rsid w:val="00780CD2"/>
    <w:rsid w:val="00780EB2"/>
    <w:rsid w:val="00781356"/>
    <w:rsid w:val="007814F0"/>
    <w:rsid w:val="007819DB"/>
    <w:rsid w:val="00781A03"/>
    <w:rsid w:val="00781DD3"/>
    <w:rsid w:val="00781E97"/>
    <w:rsid w:val="00782B48"/>
    <w:rsid w:val="00782C04"/>
    <w:rsid w:val="00782D8C"/>
    <w:rsid w:val="00783037"/>
    <w:rsid w:val="00783D1A"/>
    <w:rsid w:val="00784534"/>
    <w:rsid w:val="007846D7"/>
    <w:rsid w:val="007849E2"/>
    <w:rsid w:val="00784A6D"/>
    <w:rsid w:val="00784D3D"/>
    <w:rsid w:val="007852D7"/>
    <w:rsid w:val="00785A29"/>
    <w:rsid w:val="00786190"/>
    <w:rsid w:val="00786584"/>
    <w:rsid w:val="007865AC"/>
    <w:rsid w:val="00787010"/>
    <w:rsid w:val="007872DA"/>
    <w:rsid w:val="00787605"/>
    <w:rsid w:val="00787ABD"/>
    <w:rsid w:val="00790372"/>
    <w:rsid w:val="0079050B"/>
    <w:rsid w:val="00790BE5"/>
    <w:rsid w:val="00790DA5"/>
    <w:rsid w:val="00790E38"/>
    <w:rsid w:val="00791DBA"/>
    <w:rsid w:val="00791E0D"/>
    <w:rsid w:val="00792358"/>
    <w:rsid w:val="007932AE"/>
    <w:rsid w:val="0079373D"/>
    <w:rsid w:val="0079377C"/>
    <w:rsid w:val="00793C8C"/>
    <w:rsid w:val="00793CDC"/>
    <w:rsid w:val="00794112"/>
    <w:rsid w:val="00794557"/>
    <w:rsid w:val="00795AAD"/>
    <w:rsid w:val="00795BF4"/>
    <w:rsid w:val="00796090"/>
    <w:rsid w:val="00796550"/>
    <w:rsid w:val="007968B8"/>
    <w:rsid w:val="00796D36"/>
    <w:rsid w:val="00796DFE"/>
    <w:rsid w:val="007972B5"/>
    <w:rsid w:val="00797432"/>
    <w:rsid w:val="007974FC"/>
    <w:rsid w:val="0079782B"/>
    <w:rsid w:val="00797AC5"/>
    <w:rsid w:val="00797D4B"/>
    <w:rsid w:val="007A0228"/>
    <w:rsid w:val="007A0327"/>
    <w:rsid w:val="007A038B"/>
    <w:rsid w:val="007A0B47"/>
    <w:rsid w:val="007A0D06"/>
    <w:rsid w:val="007A0E68"/>
    <w:rsid w:val="007A0EA9"/>
    <w:rsid w:val="007A0ED0"/>
    <w:rsid w:val="007A116D"/>
    <w:rsid w:val="007A133D"/>
    <w:rsid w:val="007A18CD"/>
    <w:rsid w:val="007A19A6"/>
    <w:rsid w:val="007A1F8A"/>
    <w:rsid w:val="007A2198"/>
    <w:rsid w:val="007A24B0"/>
    <w:rsid w:val="007A24CF"/>
    <w:rsid w:val="007A2E9F"/>
    <w:rsid w:val="007A3083"/>
    <w:rsid w:val="007A324F"/>
    <w:rsid w:val="007A35E6"/>
    <w:rsid w:val="007A38FC"/>
    <w:rsid w:val="007A3BBD"/>
    <w:rsid w:val="007A4108"/>
    <w:rsid w:val="007A4267"/>
    <w:rsid w:val="007A44B9"/>
    <w:rsid w:val="007A4D7E"/>
    <w:rsid w:val="007A4FB0"/>
    <w:rsid w:val="007A51E0"/>
    <w:rsid w:val="007A538A"/>
    <w:rsid w:val="007A5A9A"/>
    <w:rsid w:val="007A5BE7"/>
    <w:rsid w:val="007A5CFC"/>
    <w:rsid w:val="007A5DF3"/>
    <w:rsid w:val="007A615E"/>
    <w:rsid w:val="007A678A"/>
    <w:rsid w:val="007A6FD2"/>
    <w:rsid w:val="007A7015"/>
    <w:rsid w:val="007A7C32"/>
    <w:rsid w:val="007A7F57"/>
    <w:rsid w:val="007B08CA"/>
    <w:rsid w:val="007B0F42"/>
    <w:rsid w:val="007B16D9"/>
    <w:rsid w:val="007B1AA1"/>
    <w:rsid w:val="007B1AEF"/>
    <w:rsid w:val="007B1F64"/>
    <w:rsid w:val="007B20A8"/>
    <w:rsid w:val="007B2DEC"/>
    <w:rsid w:val="007B326E"/>
    <w:rsid w:val="007B34B5"/>
    <w:rsid w:val="007B37AE"/>
    <w:rsid w:val="007B3941"/>
    <w:rsid w:val="007B3C75"/>
    <w:rsid w:val="007B3DF1"/>
    <w:rsid w:val="007B3FBA"/>
    <w:rsid w:val="007B47F9"/>
    <w:rsid w:val="007B4B30"/>
    <w:rsid w:val="007B4EE3"/>
    <w:rsid w:val="007B5477"/>
    <w:rsid w:val="007B5831"/>
    <w:rsid w:val="007B5DB7"/>
    <w:rsid w:val="007B5E12"/>
    <w:rsid w:val="007B5EAE"/>
    <w:rsid w:val="007B6A51"/>
    <w:rsid w:val="007B6D5F"/>
    <w:rsid w:val="007B6F92"/>
    <w:rsid w:val="007B7030"/>
    <w:rsid w:val="007B7467"/>
    <w:rsid w:val="007B75DC"/>
    <w:rsid w:val="007B7833"/>
    <w:rsid w:val="007B7CC5"/>
    <w:rsid w:val="007B7CD5"/>
    <w:rsid w:val="007C02CD"/>
    <w:rsid w:val="007C0362"/>
    <w:rsid w:val="007C0390"/>
    <w:rsid w:val="007C093A"/>
    <w:rsid w:val="007C0AB3"/>
    <w:rsid w:val="007C0BCE"/>
    <w:rsid w:val="007C0D12"/>
    <w:rsid w:val="007C0F29"/>
    <w:rsid w:val="007C0FB4"/>
    <w:rsid w:val="007C122F"/>
    <w:rsid w:val="007C14E5"/>
    <w:rsid w:val="007C16EB"/>
    <w:rsid w:val="007C1745"/>
    <w:rsid w:val="007C1936"/>
    <w:rsid w:val="007C1C0A"/>
    <w:rsid w:val="007C2106"/>
    <w:rsid w:val="007C25A0"/>
    <w:rsid w:val="007C2685"/>
    <w:rsid w:val="007C2FBD"/>
    <w:rsid w:val="007C3016"/>
    <w:rsid w:val="007C36CE"/>
    <w:rsid w:val="007C3759"/>
    <w:rsid w:val="007C398C"/>
    <w:rsid w:val="007C40B6"/>
    <w:rsid w:val="007C4154"/>
    <w:rsid w:val="007C45DD"/>
    <w:rsid w:val="007C4DC5"/>
    <w:rsid w:val="007C508C"/>
    <w:rsid w:val="007C622B"/>
    <w:rsid w:val="007C6242"/>
    <w:rsid w:val="007C6333"/>
    <w:rsid w:val="007C65E0"/>
    <w:rsid w:val="007C6733"/>
    <w:rsid w:val="007C6B86"/>
    <w:rsid w:val="007C6D1D"/>
    <w:rsid w:val="007C712E"/>
    <w:rsid w:val="007C71A6"/>
    <w:rsid w:val="007C7201"/>
    <w:rsid w:val="007C75E6"/>
    <w:rsid w:val="007C7904"/>
    <w:rsid w:val="007C7CE8"/>
    <w:rsid w:val="007D018B"/>
    <w:rsid w:val="007D03D1"/>
    <w:rsid w:val="007D0536"/>
    <w:rsid w:val="007D05DF"/>
    <w:rsid w:val="007D06BD"/>
    <w:rsid w:val="007D0962"/>
    <w:rsid w:val="007D0E6B"/>
    <w:rsid w:val="007D1473"/>
    <w:rsid w:val="007D18F3"/>
    <w:rsid w:val="007D20F5"/>
    <w:rsid w:val="007D2377"/>
    <w:rsid w:val="007D27DF"/>
    <w:rsid w:val="007D294D"/>
    <w:rsid w:val="007D2BC7"/>
    <w:rsid w:val="007D2C29"/>
    <w:rsid w:val="007D304A"/>
    <w:rsid w:val="007D30D8"/>
    <w:rsid w:val="007D3B89"/>
    <w:rsid w:val="007D3BA8"/>
    <w:rsid w:val="007D3DA1"/>
    <w:rsid w:val="007D3E05"/>
    <w:rsid w:val="007D3F4F"/>
    <w:rsid w:val="007D4045"/>
    <w:rsid w:val="007D4356"/>
    <w:rsid w:val="007D43A9"/>
    <w:rsid w:val="007D47EF"/>
    <w:rsid w:val="007D4AEA"/>
    <w:rsid w:val="007D4B77"/>
    <w:rsid w:val="007D53C0"/>
    <w:rsid w:val="007D557D"/>
    <w:rsid w:val="007D5883"/>
    <w:rsid w:val="007D5CC9"/>
    <w:rsid w:val="007D5E49"/>
    <w:rsid w:val="007D62BE"/>
    <w:rsid w:val="007D65D3"/>
    <w:rsid w:val="007D66E9"/>
    <w:rsid w:val="007D6732"/>
    <w:rsid w:val="007D6785"/>
    <w:rsid w:val="007D698A"/>
    <w:rsid w:val="007D69DA"/>
    <w:rsid w:val="007D6AE0"/>
    <w:rsid w:val="007D6E6D"/>
    <w:rsid w:val="007D7253"/>
    <w:rsid w:val="007D72D8"/>
    <w:rsid w:val="007D7452"/>
    <w:rsid w:val="007D750E"/>
    <w:rsid w:val="007D7596"/>
    <w:rsid w:val="007E0C35"/>
    <w:rsid w:val="007E0D7E"/>
    <w:rsid w:val="007E1272"/>
    <w:rsid w:val="007E152E"/>
    <w:rsid w:val="007E1B0A"/>
    <w:rsid w:val="007E2045"/>
    <w:rsid w:val="007E221D"/>
    <w:rsid w:val="007E24FE"/>
    <w:rsid w:val="007E2C45"/>
    <w:rsid w:val="007E2C9B"/>
    <w:rsid w:val="007E2D6D"/>
    <w:rsid w:val="007E2E8E"/>
    <w:rsid w:val="007E3233"/>
    <w:rsid w:val="007E32E3"/>
    <w:rsid w:val="007E37C0"/>
    <w:rsid w:val="007E3A76"/>
    <w:rsid w:val="007E3E83"/>
    <w:rsid w:val="007E4369"/>
    <w:rsid w:val="007E4644"/>
    <w:rsid w:val="007E4A65"/>
    <w:rsid w:val="007E4B3D"/>
    <w:rsid w:val="007E5107"/>
    <w:rsid w:val="007E5C04"/>
    <w:rsid w:val="007E5C44"/>
    <w:rsid w:val="007E6618"/>
    <w:rsid w:val="007E6F99"/>
    <w:rsid w:val="007E733F"/>
    <w:rsid w:val="007E7E92"/>
    <w:rsid w:val="007F00CE"/>
    <w:rsid w:val="007F0E80"/>
    <w:rsid w:val="007F0F34"/>
    <w:rsid w:val="007F1159"/>
    <w:rsid w:val="007F16B2"/>
    <w:rsid w:val="007F1D63"/>
    <w:rsid w:val="007F205B"/>
    <w:rsid w:val="007F2A03"/>
    <w:rsid w:val="007F2A3D"/>
    <w:rsid w:val="007F2E5E"/>
    <w:rsid w:val="007F3224"/>
    <w:rsid w:val="007F3598"/>
    <w:rsid w:val="007F3670"/>
    <w:rsid w:val="007F3D73"/>
    <w:rsid w:val="007F3E1C"/>
    <w:rsid w:val="007F4521"/>
    <w:rsid w:val="007F47B7"/>
    <w:rsid w:val="007F495A"/>
    <w:rsid w:val="007F4D9A"/>
    <w:rsid w:val="007F4F22"/>
    <w:rsid w:val="007F537A"/>
    <w:rsid w:val="007F53F0"/>
    <w:rsid w:val="007F5684"/>
    <w:rsid w:val="007F59C9"/>
    <w:rsid w:val="007F6249"/>
    <w:rsid w:val="007F6364"/>
    <w:rsid w:val="007F6408"/>
    <w:rsid w:val="007F6501"/>
    <w:rsid w:val="007F74E7"/>
    <w:rsid w:val="0080056D"/>
    <w:rsid w:val="008005EB"/>
    <w:rsid w:val="0080066C"/>
    <w:rsid w:val="00800F28"/>
    <w:rsid w:val="00800F64"/>
    <w:rsid w:val="00801122"/>
    <w:rsid w:val="008016BA"/>
    <w:rsid w:val="008019EB"/>
    <w:rsid w:val="00801DB1"/>
    <w:rsid w:val="008020E7"/>
    <w:rsid w:val="008023E4"/>
    <w:rsid w:val="00802994"/>
    <w:rsid w:val="008029D4"/>
    <w:rsid w:val="00802ED5"/>
    <w:rsid w:val="008031DB"/>
    <w:rsid w:val="00803E65"/>
    <w:rsid w:val="00804171"/>
    <w:rsid w:val="00804CAA"/>
    <w:rsid w:val="00805018"/>
    <w:rsid w:val="008051E5"/>
    <w:rsid w:val="00805207"/>
    <w:rsid w:val="00805E17"/>
    <w:rsid w:val="00805EF8"/>
    <w:rsid w:val="008067BC"/>
    <w:rsid w:val="00806819"/>
    <w:rsid w:val="00806837"/>
    <w:rsid w:val="00806A0B"/>
    <w:rsid w:val="00807BFE"/>
    <w:rsid w:val="00807E7B"/>
    <w:rsid w:val="00807F97"/>
    <w:rsid w:val="008103DD"/>
    <w:rsid w:val="00810B3D"/>
    <w:rsid w:val="0081129F"/>
    <w:rsid w:val="008113AB"/>
    <w:rsid w:val="008115FB"/>
    <w:rsid w:val="00811661"/>
    <w:rsid w:val="00811669"/>
    <w:rsid w:val="008117BB"/>
    <w:rsid w:val="008119E8"/>
    <w:rsid w:val="00811DA5"/>
    <w:rsid w:val="0081225C"/>
    <w:rsid w:val="00812364"/>
    <w:rsid w:val="00812497"/>
    <w:rsid w:val="00812AF2"/>
    <w:rsid w:val="00812BF2"/>
    <w:rsid w:val="00812DB0"/>
    <w:rsid w:val="00812F2C"/>
    <w:rsid w:val="0081302B"/>
    <w:rsid w:val="008130C6"/>
    <w:rsid w:val="0081372E"/>
    <w:rsid w:val="00814184"/>
    <w:rsid w:val="008153E3"/>
    <w:rsid w:val="00815555"/>
    <w:rsid w:val="00815B0F"/>
    <w:rsid w:val="00816249"/>
    <w:rsid w:val="00816823"/>
    <w:rsid w:val="00816B1B"/>
    <w:rsid w:val="00816F47"/>
    <w:rsid w:val="0081712C"/>
    <w:rsid w:val="00817133"/>
    <w:rsid w:val="008177AC"/>
    <w:rsid w:val="00820009"/>
    <w:rsid w:val="00820272"/>
    <w:rsid w:val="0082028C"/>
    <w:rsid w:val="0082076C"/>
    <w:rsid w:val="00820A0E"/>
    <w:rsid w:val="00820DBB"/>
    <w:rsid w:val="008210CB"/>
    <w:rsid w:val="008214AA"/>
    <w:rsid w:val="00821E77"/>
    <w:rsid w:val="008221E1"/>
    <w:rsid w:val="008222E0"/>
    <w:rsid w:val="00822328"/>
    <w:rsid w:val="0082232B"/>
    <w:rsid w:val="00822387"/>
    <w:rsid w:val="008224B0"/>
    <w:rsid w:val="008229BF"/>
    <w:rsid w:val="0082350F"/>
    <w:rsid w:val="0082404D"/>
    <w:rsid w:val="00824314"/>
    <w:rsid w:val="008265E4"/>
    <w:rsid w:val="00826F80"/>
    <w:rsid w:val="008273C5"/>
    <w:rsid w:val="008277EC"/>
    <w:rsid w:val="00830016"/>
    <w:rsid w:val="00830330"/>
    <w:rsid w:val="00830B1C"/>
    <w:rsid w:val="00830DD0"/>
    <w:rsid w:val="008312EA"/>
    <w:rsid w:val="00831315"/>
    <w:rsid w:val="00831331"/>
    <w:rsid w:val="00831632"/>
    <w:rsid w:val="00831739"/>
    <w:rsid w:val="00831DD1"/>
    <w:rsid w:val="00831E9E"/>
    <w:rsid w:val="00832C67"/>
    <w:rsid w:val="00833011"/>
    <w:rsid w:val="008332C9"/>
    <w:rsid w:val="00833771"/>
    <w:rsid w:val="0083384E"/>
    <w:rsid w:val="0083397E"/>
    <w:rsid w:val="00833AB8"/>
    <w:rsid w:val="00833AE8"/>
    <w:rsid w:val="008348C8"/>
    <w:rsid w:val="00834E80"/>
    <w:rsid w:val="00835017"/>
    <w:rsid w:val="008356F1"/>
    <w:rsid w:val="00835837"/>
    <w:rsid w:val="00835B1F"/>
    <w:rsid w:val="00835CDE"/>
    <w:rsid w:val="00835FDF"/>
    <w:rsid w:val="00836B8C"/>
    <w:rsid w:val="00836E59"/>
    <w:rsid w:val="0083702A"/>
    <w:rsid w:val="0083794A"/>
    <w:rsid w:val="00837B6C"/>
    <w:rsid w:val="008402DB"/>
    <w:rsid w:val="00840482"/>
    <w:rsid w:val="00840567"/>
    <w:rsid w:val="00840746"/>
    <w:rsid w:val="00840C00"/>
    <w:rsid w:val="00840D0F"/>
    <w:rsid w:val="008411C5"/>
    <w:rsid w:val="0084133D"/>
    <w:rsid w:val="0084155D"/>
    <w:rsid w:val="00841B64"/>
    <w:rsid w:val="00841C2A"/>
    <w:rsid w:val="00841E54"/>
    <w:rsid w:val="0084276A"/>
    <w:rsid w:val="00842C10"/>
    <w:rsid w:val="008430DF"/>
    <w:rsid w:val="0084353D"/>
    <w:rsid w:val="00843755"/>
    <w:rsid w:val="00843DC3"/>
    <w:rsid w:val="00843DFE"/>
    <w:rsid w:val="008441AD"/>
    <w:rsid w:val="00844AAE"/>
    <w:rsid w:val="00844E4F"/>
    <w:rsid w:val="0084587A"/>
    <w:rsid w:val="00845AD8"/>
    <w:rsid w:val="00845CB0"/>
    <w:rsid w:val="00846033"/>
    <w:rsid w:val="00846EA7"/>
    <w:rsid w:val="00847657"/>
    <w:rsid w:val="0084786C"/>
    <w:rsid w:val="00850351"/>
    <w:rsid w:val="008509C7"/>
    <w:rsid w:val="00850F56"/>
    <w:rsid w:val="008510AD"/>
    <w:rsid w:val="00851609"/>
    <w:rsid w:val="00851B0C"/>
    <w:rsid w:val="00851CE6"/>
    <w:rsid w:val="00851E57"/>
    <w:rsid w:val="008525AB"/>
    <w:rsid w:val="00852647"/>
    <w:rsid w:val="008526E4"/>
    <w:rsid w:val="00852970"/>
    <w:rsid w:val="00852B16"/>
    <w:rsid w:val="00852C0C"/>
    <w:rsid w:val="00853248"/>
    <w:rsid w:val="00853EF0"/>
    <w:rsid w:val="00854013"/>
    <w:rsid w:val="008548EF"/>
    <w:rsid w:val="008557B0"/>
    <w:rsid w:val="0085589F"/>
    <w:rsid w:val="0085598E"/>
    <w:rsid w:val="008559FD"/>
    <w:rsid w:val="00855E40"/>
    <w:rsid w:val="00856800"/>
    <w:rsid w:val="00856884"/>
    <w:rsid w:val="00856ED3"/>
    <w:rsid w:val="00856FE7"/>
    <w:rsid w:val="008573B6"/>
    <w:rsid w:val="008573F6"/>
    <w:rsid w:val="00857531"/>
    <w:rsid w:val="00857BBC"/>
    <w:rsid w:val="00857C76"/>
    <w:rsid w:val="0086077F"/>
    <w:rsid w:val="0086078A"/>
    <w:rsid w:val="0086096A"/>
    <w:rsid w:val="00860EED"/>
    <w:rsid w:val="008613AE"/>
    <w:rsid w:val="00861548"/>
    <w:rsid w:val="00861B68"/>
    <w:rsid w:val="00862C4F"/>
    <w:rsid w:val="00863CCE"/>
    <w:rsid w:val="00863E85"/>
    <w:rsid w:val="00864325"/>
    <w:rsid w:val="00864711"/>
    <w:rsid w:val="008647CB"/>
    <w:rsid w:val="0086487D"/>
    <w:rsid w:val="008648E9"/>
    <w:rsid w:val="0086491D"/>
    <w:rsid w:val="00864BB2"/>
    <w:rsid w:val="00864DB9"/>
    <w:rsid w:val="00865002"/>
    <w:rsid w:val="008656EC"/>
    <w:rsid w:val="00865A90"/>
    <w:rsid w:val="00865F49"/>
    <w:rsid w:val="008662E7"/>
    <w:rsid w:val="0086641B"/>
    <w:rsid w:val="0086647E"/>
    <w:rsid w:val="00866A64"/>
    <w:rsid w:val="00866B57"/>
    <w:rsid w:val="008671CA"/>
    <w:rsid w:val="00867210"/>
    <w:rsid w:val="008678CA"/>
    <w:rsid w:val="00867BFC"/>
    <w:rsid w:val="00870B09"/>
    <w:rsid w:val="00870BCD"/>
    <w:rsid w:val="00870F8A"/>
    <w:rsid w:val="0087125D"/>
    <w:rsid w:val="00871F23"/>
    <w:rsid w:val="00872007"/>
    <w:rsid w:val="00872334"/>
    <w:rsid w:val="00872DE7"/>
    <w:rsid w:val="00872E73"/>
    <w:rsid w:val="008732B0"/>
    <w:rsid w:val="00873471"/>
    <w:rsid w:val="00873498"/>
    <w:rsid w:val="008736D6"/>
    <w:rsid w:val="0087387D"/>
    <w:rsid w:val="00873C32"/>
    <w:rsid w:val="00873F7D"/>
    <w:rsid w:val="00874724"/>
    <w:rsid w:val="00875461"/>
    <w:rsid w:val="00875C70"/>
    <w:rsid w:val="00875F09"/>
    <w:rsid w:val="00876114"/>
    <w:rsid w:val="00876589"/>
    <w:rsid w:val="0087684A"/>
    <w:rsid w:val="00876A5D"/>
    <w:rsid w:val="00876B98"/>
    <w:rsid w:val="00876C17"/>
    <w:rsid w:val="0087719E"/>
    <w:rsid w:val="00877217"/>
    <w:rsid w:val="00877896"/>
    <w:rsid w:val="00877A92"/>
    <w:rsid w:val="008801F3"/>
    <w:rsid w:val="0088023D"/>
    <w:rsid w:val="00880BA1"/>
    <w:rsid w:val="00880DCA"/>
    <w:rsid w:val="008814CB"/>
    <w:rsid w:val="008816E1"/>
    <w:rsid w:val="008817DA"/>
    <w:rsid w:val="00881BBD"/>
    <w:rsid w:val="00881EAF"/>
    <w:rsid w:val="00882024"/>
    <w:rsid w:val="00882198"/>
    <w:rsid w:val="0088261E"/>
    <w:rsid w:val="00882D63"/>
    <w:rsid w:val="00882E61"/>
    <w:rsid w:val="00883274"/>
    <w:rsid w:val="00883594"/>
    <w:rsid w:val="00883885"/>
    <w:rsid w:val="00883EA6"/>
    <w:rsid w:val="008843BA"/>
    <w:rsid w:val="0088464F"/>
    <w:rsid w:val="00884ADA"/>
    <w:rsid w:val="00884C62"/>
    <w:rsid w:val="00884F3F"/>
    <w:rsid w:val="00885055"/>
    <w:rsid w:val="008852DA"/>
    <w:rsid w:val="00885353"/>
    <w:rsid w:val="00885649"/>
    <w:rsid w:val="008856F9"/>
    <w:rsid w:val="00885CB6"/>
    <w:rsid w:val="00885DF7"/>
    <w:rsid w:val="0088650D"/>
    <w:rsid w:val="00886707"/>
    <w:rsid w:val="008868D6"/>
    <w:rsid w:val="00887081"/>
    <w:rsid w:val="008874C4"/>
    <w:rsid w:val="00887B54"/>
    <w:rsid w:val="00887BE3"/>
    <w:rsid w:val="0089020F"/>
    <w:rsid w:val="00890972"/>
    <w:rsid w:val="00890C49"/>
    <w:rsid w:val="00892655"/>
    <w:rsid w:val="00892CA5"/>
    <w:rsid w:val="00892CEC"/>
    <w:rsid w:val="008933DD"/>
    <w:rsid w:val="00893994"/>
    <w:rsid w:val="008939AD"/>
    <w:rsid w:val="00894094"/>
    <w:rsid w:val="008948FD"/>
    <w:rsid w:val="0089495B"/>
    <w:rsid w:val="00895EFA"/>
    <w:rsid w:val="008960A0"/>
    <w:rsid w:val="008960E6"/>
    <w:rsid w:val="008965A5"/>
    <w:rsid w:val="00897B47"/>
    <w:rsid w:val="00897D93"/>
    <w:rsid w:val="00897E93"/>
    <w:rsid w:val="008A00D5"/>
    <w:rsid w:val="008A0417"/>
    <w:rsid w:val="008A0DD8"/>
    <w:rsid w:val="008A0DE3"/>
    <w:rsid w:val="008A0EC9"/>
    <w:rsid w:val="008A1269"/>
    <w:rsid w:val="008A1B30"/>
    <w:rsid w:val="008A21AA"/>
    <w:rsid w:val="008A26FA"/>
    <w:rsid w:val="008A3123"/>
    <w:rsid w:val="008A35A2"/>
    <w:rsid w:val="008A35C4"/>
    <w:rsid w:val="008A35F7"/>
    <w:rsid w:val="008A365E"/>
    <w:rsid w:val="008A38AD"/>
    <w:rsid w:val="008A3B57"/>
    <w:rsid w:val="008A48F5"/>
    <w:rsid w:val="008A546C"/>
    <w:rsid w:val="008A581B"/>
    <w:rsid w:val="008A6107"/>
    <w:rsid w:val="008A63EF"/>
    <w:rsid w:val="008A676E"/>
    <w:rsid w:val="008A6912"/>
    <w:rsid w:val="008A6D30"/>
    <w:rsid w:val="008A71A5"/>
    <w:rsid w:val="008A7339"/>
    <w:rsid w:val="008A77E5"/>
    <w:rsid w:val="008B012C"/>
    <w:rsid w:val="008B0B87"/>
    <w:rsid w:val="008B12B2"/>
    <w:rsid w:val="008B1500"/>
    <w:rsid w:val="008B1ABB"/>
    <w:rsid w:val="008B231F"/>
    <w:rsid w:val="008B23A6"/>
    <w:rsid w:val="008B2696"/>
    <w:rsid w:val="008B286E"/>
    <w:rsid w:val="008B331B"/>
    <w:rsid w:val="008B3560"/>
    <w:rsid w:val="008B3969"/>
    <w:rsid w:val="008B41BC"/>
    <w:rsid w:val="008B4396"/>
    <w:rsid w:val="008B44FE"/>
    <w:rsid w:val="008B49B4"/>
    <w:rsid w:val="008B4C30"/>
    <w:rsid w:val="008B5328"/>
    <w:rsid w:val="008B539B"/>
    <w:rsid w:val="008B53FE"/>
    <w:rsid w:val="008B5C06"/>
    <w:rsid w:val="008B6590"/>
    <w:rsid w:val="008B6895"/>
    <w:rsid w:val="008B6EBB"/>
    <w:rsid w:val="008B7010"/>
    <w:rsid w:val="008B7540"/>
    <w:rsid w:val="008B75AD"/>
    <w:rsid w:val="008B78BC"/>
    <w:rsid w:val="008B7FCB"/>
    <w:rsid w:val="008C0486"/>
    <w:rsid w:val="008C05C0"/>
    <w:rsid w:val="008C1596"/>
    <w:rsid w:val="008C1BF9"/>
    <w:rsid w:val="008C2B2F"/>
    <w:rsid w:val="008C2CC2"/>
    <w:rsid w:val="008C2EFA"/>
    <w:rsid w:val="008C333B"/>
    <w:rsid w:val="008C39BF"/>
    <w:rsid w:val="008C3B23"/>
    <w:rsid w:val="008C3F26"/>
    <w:rsid w:val="008C3F2D"/>
    <w:rsid w:val="008C423C"/>
    <w:rsid w:val="008C42A6"/>
    <w:rsid w:val="008C4457"/>
    <w:rsid w:val="008C44A1"/>
    <w:rsid w:val="008C47CC"/>
    <w:rsid w:val="008C48FF"/>
    <w:rsid w:val="008C4954"/>
    <w:rsid w:val="008C49FC"/>
    <w:rsid w:val="008C4A30"/>
    <w:rsid w:val="008C4D6A"/>
    <w:rsid w:val="008C515F"/>
    <w:rsid w:val="008C5552"/>
    <w:rsid w:val="008C6247"/>
    <w:rsid w:val="008C666F"/>
    <w:rsid w:val="008C697A"/>
    <w:rsid w:val="008C6DA2"/>
    <w:rsid w:val="008C74F7"/>
    <w:rsid w:val="008C7697"/>
    <w:rsid w:val="008C7B1C"/>
    <w:rsid w:val="008C7FBA"/>
    <w:rsid w:val="008D00C5"/>
    <w:rsid w:val="008D0885"/>
    <w:rsid w:val="008D16D1"/>
    <w:rsid w:val="008D17EA"/>
    <w:rsid w:val="008D188D"/>
    <w:rsid w:val="008D1D13"/>
    <w:rsid w:val="008D1EEA"/>
    <w:rsid w:val="008D1F20"/>
    <w:rsid w:val="008D2067"/>
    <w:rsid w:val="008D216A"/>
    <w:rsid w:val="008D23D4"/>
    <w:rsid w:val="008D2533"/>
    <w:rsid w:val="008D256E"/>
    <w:rsid w:val="008D29E7"/>
    <w:rsid w:val="008D2B4F"/>
    <w:rsid w:val="008D314B"/>
    <w:rsid w:val="008D337B"/>
    <w:rsid w:val="008D37E9"/>
    <w:rsid w:val="008D4115"/>
    <w:rsid w:val="008D4775"/>
    <w:rsid w:val="008D4BA9"/>
    <w:rsid w:val="008D4C41"/>
    <w:rsid w:val="008D5A18"/>
    <w:rsid w:val="008D683F"/>
    <w:rsid w:val="008D6A23"/>
    <w:rsid w:val="008D6C6B"/>
    <w:rsid w:val="008D6E82"/>
    <w:rsid w:val="008D734C"/>
    <w:rsid w:val="008D7454"/>
    <w:rsid w:val="008D78E3"/>
    <w:rsid w:val="008D7C6E"/>
    <w:rsid w:val="008E1054"/>
    <w:rsid w:val="008E1625"/>
    <w:rsid w:val="008E2377"/>
    <w:rsid w:val="008E33C5"/>
    <w:rsid w:val="008E41BB"/>
    <w:rsid w:val="008E42FE"/>
    <w:rsid w:val="008E436D"/>
    <w:rsid w:val="008E4A31"/>
    <w:rsid w:val="008E502F"/>
    <w:rsid w:val="008E5090"/>
    <w:rsid w:val="008E52FA"/>
    <w:rsid w:val="008E5ABE"/>
    <w:rsid w:val="008E5E23"/>
    <w:rsid w:val="008E64EB"/>
    <w:rsid w:val="008E6537"/>
    <w:rsid w:val="008E6606"/>
    <w:rsid w:val="008E670D"/>
    <w:rsid w:val="008E6CD4"/>
    <w:rsid w:val="008E71C4"/>
    <w:rsid w:val="008E72F7"/>
    <w:rsid w:val="008E73AA"/>
    <w:rsid w:val="008E7BD4"/>
    <w:rsid w:val="008F0059"/>
    <w:rsid w:val="008F00F5"/>
    <w:rsid w:val="008F075B"/>
    <w:rsid w:val="008F10A7"/>
    <w:rsid w:val="008F1141"/>
    <w:rsid w:val="008F15F2"/>
    <w:rsid w:val="008F165C"/>
    <w:rsid w:val="008F17DA"/>
    <w:rsid w:val="008F1FB1"/>
    <w:rsid w:val="008F2031"/>
    <w:rsid w:val="008F3165"/>
    <w:rsid w:val="008F3A96"/>
    <w:rsid w:val="008F3E1D"/>
    <w:rsid w:val="008F3E38"/>
    <w:rsid w:val="008F4231"/>
    <w:rsid w:val="008F45F3"/>
    <w:rsid w:val="008F4C62"/>
    <w:rsid w:val="008F4D86"/>
    <w:rsid w:val="008F4F9B"/>
    <w:rsid w:val="008F589C"/>
    <w:rsid w:val="008F5B10"/>
    <w:rsid w:val="008F5FD9"/>
    <w:rsid w:val="008F6293"/>
    <w:rsid w:val="008F7BE5"/>
    <w:rsid w:val="008F7DDC"/>
    <w:rsid w:val="009000D7"/>
    <w:rsid w:val="00900946"/>
    <w:rsid w:val="00900BF1"/>
    <w:rsid w:val="00900C01"/>
    <w:rsid w:val="00900FFD"/>
    <w:rsid w:val="009017C8"/>
    <w:rsid w:val="009018DD"/>
    <w:rsid w:val="00901E95"/>
    <w:rsid w:val="00902093"/>
    <w:rsid w:val="0090265F"/>
    <w:rsid w:val="0090276E"/>
    <w:rsid w:val="00903012"/>
    <w:rsid w:val="00903030"/>
    <w:rsid w:val="00903A1F"/>
    <w:rsid w:val="00903B42"/>
    <w:rsid w:val="009040EC"/>
    <w:rsid w:val="00904E83"/>
    <w:rsid w:val="00905377"/>
    <w:rsid w:val="009053A9"/>
    <w:rsid w:val="009053C7"/>
    <w:rsid w:val="00906117"/>
    <w:rsid w:val="009064B4"/>
    <w:rsid w:val="009066ED"/>
    <w:rsid w:val="00906B4F"/>
    <w:rsid w:val="0090799C"/>
    <w:rsid w:val="00907E2E"/>
    <w:rsid w:val="009100F7"/>
    <w:rsid w:val="0091049B"/>
    <w:rsid w:val="00910553"/>
    <w:rsid w:val="00910D62"/>
    <w:rsid w:val="00911220"/>
    <w:rsid w:val="0091147C"/>
    <w:rsid w:val="0091184A"/>
    <w:rsid w:val="00911F84"/>
    <w:rsid w:val="00911FBB"/>
    <w:rsid w:val="009126CE"/>
    <w:rsid w:val="0091294E"/>
    <w:rsid w:val="00912981"/>
    <w:rsid w:val="009129A9"/>
    <w:rsid w:val="00912C4D"/>
    <w:rsid w:val="00912D7C"/>
    <w:rsid w:val="00912DB0"/>
    <w:rsid w:val="00913997"/>
    <w:rsid w:val="00913ADF"/>
    <w:rsid w:val="00913C9C"/>
    <w:rsid w:val="00914040"/>
    <w:rsid w:val="00915220"/>
    <w:rsid w:val="00915390"/>
    <w:rsid w:val="00915439"/>
    <w:rsid w:val="009154E1"/>
    <w:rsid w:val="009156A6"/>
    <w:rsid w:val="0091579E"/>
    <w:rsid w:val="009158D7"/>
    <w:rsid w:val="00915CE5"/>
    <w:rsid w:val="00915D34"/>
    <w:rsid w:val="009165E1"/>
    <w:rsid w:val="00917054"/>
    <w:rsid w:val="0091784E"/>
    <w:rsid w:val="00917EC5"/>
    <w:rsid w:val="00920ECF"/>
    <w:rsid w:val="009210F1"/>
    <w:rsid w:val="0092219C"/>
    <w:rsid w:val="0092258E"/>
    <w:rsid w:val="009227F1"/>
    <w:rsid w:val="00922930"/>
    <w:rsid w:val="00923162"/>
    <w:rsid w:val="00923E30"/>
    <w:rsid w:val="00924E4D"/>
    <w:rsid w:val="0092508D"/>
    <w:rsid w:val="0092563C"/>
    <w:rsid w:val="009262B0"/>
    <w:rsid w:val="009268F9"/>
    <w:rsid w:val="00927DB8"/>
    <w:rsid w:val="00930432"/>
    <w:rsid w:val="00930AB9"/>
    <w:rsid w:val="00931959"/>
    <w:rsid w:val="00931CB4"/>
    <w:rsid w:val="00931E94"/>
    <w:rsid w:val="009323AF"/>
    <w:rsid w:val="00932D6A"/>
    <w:rsid w:val="00933734"/>
    <w:rsid w:val="00933A81"/>
    <w:rsid w:val="00933CE8"/>
    <w:rsid w:val="00934188"/>
    <w:rsid w:val="0093439C"/>
    <w:rsid w:val="0093449C"/>
    <w:rsid w:val="009345E5"/>
    <w:rsid w:val="00934A37"/>
    <w:rsid w:val="00934EE8"/>
    <w:rsid w:val="00935048"/>
    <w:rsid w:val="009350A5"/>
    <w:rsid w:val="009350F7"/>
    <w:rsid w:val="00935142"/>
    <w:rsid w:val="00936D22"/>
    <w:rsid w:val="00936D35"/>
    <w:rsid w:val="0093718D"/>
    <w:rsid w:val="009374D7"/>
    <w:rsid w:val="009376E0"/>
    <w:rsid w:val="00937A72"/>
    <w:rsid w:val="00937D1B"/>
    <w:rsid w:val="00937D8C"/>
    <w:rsid w:val="00937E64"/>
    <w:rsid w:val="009401A6"/>
    <w:rsid w:val="009402E6"/>
    <w:rsid w:val="00940C56"/>
    <w:rsid w:val="00940FDA"/>
    <w:rsid w:val="00941574"/>
    <w:rsid w:val="009417D6"/>
    <w:rsid w:val="0094198D"/>
    <w:rsid w:val="009419A0"/>
    <w:rsid w:val="00941F86"/>
    <w:rsid w:val="009420F5"/>
    <w:rsid w:val="009421C2"/>
    <w:rsid w:val="009421C4"/>
    <w:rsid w:val="00942573"/>
    <w:rsid w:val="009425AB"/>
    <w:rsid w:val="009425CD"/>
    <w:rsid w:val="0094265F"/>
    <w:rsid w:val="009428F9"/>
    <w:rsid w:val="00943F4D"/>
    <w:rsid w:val="0094437D"/>
    <w:rsid w:val="009447A6"/>
    <w:rsid w:val="00944B5A"/>
    <w:rsid w:val="00944F17"/>
    <w:rsid w:val="009450AD"/>
    <w:rsid w:val="009452F6"/>
    <w:rsid w:val="0094579F"/>
    <w:rsid w:val="00945953"/>
    <w:rsid w:val="00945C98"/>
    <w:rsid w:val="00945D03"/>
    <w:rsid w:val="00945DAD"/>
    <w:rsid w:val="00946A22"/>
    <w:rsid w:val="00946BB2"/>
    <w:rsid w:val="00946DDF"/>
    <w:rsid w:val="009474E6"/>
    <w:rsid w:val="00947A4D"/>
    <w:rsid w:val="00947F2F"/>
    <w:rsid w:val="00947F7E"/>
    <w:rsid w:val="00947FDB"/>
    <w:rsid w:val="0095008E"/>
    <w:rsid w:val="009502F3"/>
    <w:rsid w:val="009508B1"/>
    <w:rsid w:val="00950CF6"/>
    <w:rsid w:val="00950D76"/>
    <w:rsid w:val="00950D7F"/>
    <w:rsid w:val="00950D93"/>
    <w:rsid w:val="00951755"/>
    <w:rsid w:val="00952576"/>
    <w:rsid w:val="00953131"/>
    <w:rsid w:val="00953503"/>
    <w:rsid w:val="00953563"/>
    <w:rsid w:val="00953C14"/>
    <w:rsid w:val="00954931"/>
    <w:rsid w:val="00954E73"/>
    <w:rsid w:val="00954EA1"/>
    <w:rsid w:val="00955684"/>
    <w:rsid w:val="009558C9"/>
    <w:rsid w:val="00955A28"/>
    <w:rsid w:val="00955A87"/>
    <w:rsid w:val="00955BF8"/>
    <w:rsid w:val="00955CCA"/>
    <w:rsid w:val="00955F72"/>
    <w:rsid w:val="00955F87"/>
    <w:rsid w:val="009563DE"/>
    <w:rsid w:val="00956A20"/>
    <w:rsid w:val="00956A6F"/>
    <w:rsid w:val="00957B8B"/>
    <w:rsid w:val="00957EFC"/>
    <w:rsid w:val="00960603"/>
    <w:rsid w:val="00960A85"/>
    <w:rsid w:val="0096181A"/>
    <w:rsid w:val="0096187B"/>
    <w:rsid w:val="009621AE"/>
    <w:rsid w:val="0096243F"/>
    <w:rsid w:val="0096263E"/>
    <w:rsid w:val="0096298C"/>
    <w:rsid w:val="00963101"/>
    <w:rsid w:val="0096326D"/>
    <w:rsid w:val="009632C1"/>
    <w:rsid w:val="009633D4"/>
    <w:rsid w:val="0096363B"/>
    <w:rsid w:val="00963A26"/>
    <w:rsid w:val="00963A59"/>
    <w:rsid w:val="00963B43"/>
    <w:rsid w:val="00963BF0"/>
    <w:rsid w:val="00963CA8"/>
    <w:rsid w:val="00964026"/>
    <w:rsid w:val="00964310"/>
    <w:rsid w:val="009644F1"/>
    <w:rsid w:val="00964894"/>
    <w:rsid w:val="00964D45"/>
    <w:rsid w:val="00965189"/>
    <w:rsid w:val="00965833"/>
    <w:rsid w:val="00966EDD"/>
    <w:rsid w:val="00967132"/>
    <w:rsid w:val="00967226"/>
    <w:rsid w:val="00967371"/>
    <w:rsid w:val="00967A97"/>
    <w:rsid w:val="00970B0E"/>
    <w:rsid w:val="00971B48"/>
    <w:rsid w:val="00971DEE"/>
    <w:rsid w:val="00971E7D"/>
    <w:rsid w:val="009722FD"/>
    <w:rsid w:val="00972500"/>
    <w:rsid w:val="00972559"/>
    <w:rsid w:val="00972C62"/>
    <w:rsid w:val="00972E8C"/>
    <w:rsid w:val="00973732"/>
    <w:rsid w:val="00973DEB"/>
    <w:rsid w:val="00974790"/>
    <w:rsid w:val="009747D4"/>
    <w:rsid w:val="009749A9"/>
    <w:rsid w:val="009749F0"/>
    <w:rsid w:val="009753C8"/>
    <w:rsid w:val="009754A9"/>
    <w:rsid w:val="00975E48"/>
    <w:rsid w:val="0097618D"/>
    <w:rsid w:val="00976769"/>
    <w:rsid w:val="0097676F"/>
    <w:rsid w:val="009767D8"/>
    <w:rsid w:val="00977420"/>
    <w:rsid w:val="00977B4C"/>
    <w:rsid w:val="00980317"/>
    <w:rsid w:val="009804B8"/>
    <w:rsid w:val="00980E01"/>
    <w:rsid w:val="00980FC8"/>
    <w:rsid w:val="00981067"/>
    <w:rsid w:val="0098106C"/>
    <w:rsid w:val="009816DF"/>
    <w:rsid w:val="00981A65"/>
    <w:rsid w:val="00981CFF"/>
    <w:rsid w:val="0098208A"/>
    <w:rsid w:val="009820D4"/>
    <w:rsid w:val="00982591"/>
    <w:rsid w:val="00982A81"/>
    <w:rsid w:val="00982DA0"/>
    <w:rsid w:val="00982E1B"/>
    <w:rsid w:val="00983445"/>
    <w:rsid w:val="0098362F"/>
    <w:rsid w:val="0098553B"/>
    <w:rsid w:val="00985751"/>
    <w:rsid w:val="009857A2"/>
    <w:rsid w:val="0098586E"/>
    <w:rsid w:val="00985A1E"/>
    <w:rsid w:val="00985EB6"/>
    <w:rsid w:val="00985F26"/>
    <w:rsid w:val="00986128"/>
    <w:rsid w:val="0098622B"/>
    <w:rsid w:val="009867AA"/>
    <w:rsid w:val="00986B5C"/>
    <w:rsid w:val="00986C8C"/>
    <w:rsid w:val="0098743A"/>
    <w:rsid w:val="00987782"/>
    <w:rsid w:val="009877C3"/>
    <w:rsid w:val="00990225"/>
    <w:rsid w:val="00991347"/>
    <w:rsid w:val="00991389"/>
    <w:rsid w:val="0099147B"/>
    <w:rsid w:val="009914DF"/>
    <w:rsid w:val="0099198B"/>
    <w:rsid w:val="00991C7B"/>
    <w:rsid w:val="00991D3C"/>
    <w:rsid w:val="00991F0C"/>
    <w:rsid w:val="00991FAB"/>
    <w:rsid w:val="0099217B"/>
    <w:rsid w:val="0099266D"/>
    <w:rsid w:val="00992AE1"/>
    <w:rsid w:val="009930EB"/>
    <w:rsid w:val="00993263"/>
    <w:rsid w:val="00993343"/>
    <w:rsid w:val="0099375C"/>
    <w:rsid w:val="009944A6"/>
    <w:rsid w:val="00994EC8"/>
    <w:rsid w:val="00994FDE"/>
    <w:rsid w:val="00995182"/>
    <w:rsid w:val="0099559C"/>
    <w:rsid w:val="00995DF7"/>
    <w:rsid w:val="00996ED3"/>
    <w:rsid w:val="00997489"/>
    <w:rsid w:val="0099758A"/>
    <w:rsid w:val="0099785C"/>
    <w:rsid w:val="00997B20"/>
    <w:rsid w:val="00997C8F"/>
    <w:rsid w:val="009A05A8"/>
    <w:rsid w:val="009A06A6"/>
    <w:rsid w:val="009A09F8"/>
    <w:rsid w:val="009A1235"/>
    <w:rsid w:val="009A13FA"/>
    <w:rsid w:val="009A1B79"/>
    <w:rsid w:val="009A1D78"/>
    <w:rsid w:val="009A1EF4"/>
    <w:rsid w:val="009A2156"/>
    <w:rsid w:val="009A220C"/>
    <w:rsid w:val="009A251F"/>
    <w:rsid w:val="009A2C1C"/>
    <w:rsid w:val="009A33BF"/>
    <w:rsid w:val="009A34EC"/>
    <w:rsid w:val="009A36AB"/>
    <w:rsid w:val="009A47E4"/>
    <w:rsid w:val="009A4BBF"/>
    <w:rsid w:val="009A4F5E"/>
    <w:rsid w:val="009A4FDF"/>
    <w:rsid w:val="009A512B"/>
    <w:rsid w:val="009A58F7"/>
    <w:rsid w:val="009A62E6"/>
    <w:rsid w:val="009A683A"/>
    <w:rsid w:val="009A6884"/>
    <w:rsid w:val="009A6DE7"/>
    <w:rsid w:val="009A78F3"/>
    <w:rsid w:val="009A7A0D"/>
    <w:rsid w:val="009A7C69"/>
    <w:rsid w:val="009B0359"/>
    <w:rsid w:val="009B0A5F"/>
    <w:rsid w:val="009B0B88"/>
    <w:rsid w:val="009B12E0"/>
    <w:rsid w:val="009B1B7F"/>
    <w:rsid w:val="009B1D5B"/>
    <w:rsid w:val="009B2391"/>
    <w:rsid w:val="009B2B50"/>
    <w:rsid w:val="009B2D63"/>
    <w:rsid w:val="009B2D72"/>
    <w:rsid w:val="009B2F58"/>
    <w:rsid w:val="009B30CD"/>
    <w:rsid w:val="009B3A0B"/>
    <w:rsid w:val="009B3A95"/>
    <w:rsid w:val="009B4B86"/>
    <w:rsid w:val="009B52DF"/>
    <w:rsid w:val="009B55DA"/>
    <w:rsid w:val="009B5A6D"/>
    <w:rsid w:val="009B5AF6"/>
    <w:rsid w:val="009B5C8F"/>
    <w:rsid w:val="009B68D2"/>
    <w:rsid w:val="009B7159"/>
    <w:rsid w:val="009C0356"/>
    <w:rsid w:val="009C1122"/>
    <w:rsid w:val="009C149F"/>
    <w:rsid w:val="009C1555"/>
    <w:rsid w:val="009C166B"/>
    <w:rsid w:val="009C1673"/>
    <w:rsid w:val="009C1701"/>
    <w:rsid w:val="009C1727"/>
    <w:rsid w:val="009C1A2B"/>
    <w:rsid w:val="009C1FC5"/>
    <w:rsid w:val="009C2141"/>
    <w:rsid w:val="009C2653"/>
    <w:rsid w:val="009C2DE9"/>
    <w:rsid w:val="009C2ECF"/>
    <w:rsid w:val="009C31FD"/>
    <w:rsid w:val="009C3253"/>
    <w:rsid w:val="009C329A"/>
    <w:rsid w:val="009C3327"/>
    <w:rsid w:val="009C33AC"/>
    <w:rsid w:val="009C3A9C"/>
    <w:rsid w:val="009C3AF8"/>
    <w:rsid w:val="009C3D5F"/>
    <w:rsid w:val="009C3F12"/>
    <w:rsid w:val="009C3F14"/>
    <w:rsid w:val="009C49BA"/>
    <w:rsid w:val="009C513C"/>
    <w:rsid w:val="009C5247"/>
    <w:rsid w:val="009C5CDD"/>
    <w:rsid w:val="009C60E8"/>
    <w:rsid w:val="009C64F6"/>
    <w:rsid w:val="009C6504"/>
    <w:rsid w:val="009C6BE6"/>
    <w:rsid w:val="009C6C7A"/>
    <w:rsid w:val="009C6DE1"/>
    <w:rsid w:val="009C7996"/>
    <w:rsid w:val="009C7A8A"/>
    <w:rsid w:val="009D01D1"/>
    <w:rsid w:val="009D057F"/>
    <w:rsid w:val="009D0766"/>
    <w:rsid w:val="009D08CA"/>
    <w:rsid w:val="009D098C"/>
    <w:rsid w:val="009D14CF"/>
    <w:rsid w:val="009D19BB"/>
    <w:rsid w:val="009D1BA6"/>
    <w:rsid w:val="009D1DAC"/>
    <w:rsid w:val="009D2658"/>
    <w:rsid w:val="009D2A22"/>
    <w:rsid w:val="009D387A"/>
    <w:rsid w:val="009D3910"/>
    <w:rsid w:val="009D3A36"/>
    <w:rsid w:val="009D4580"/>
    <w:rsid w:val="009D4934"/>
    <w:rsid w:val="009D496A"/>
    <w:rsid w:val="009D515C"/>
    <w:rsid w:val="009D54AD"/>
    <w:rsid w:val="009D5586"/>
    <w:rsid w:val="009D568B"/>
    <w:rsid w:val="009D5895"/>
    <w:rsid w:val="009D5A69"/>
    <w:rsid w:val="009D5E8E"/>
    <w:rsid w:val="009D6148"/>
    <w:rsid w:val="009D64CA"/>
    <w:rsid w:val="009D65E4"/>
    <w:rsid w:val="009D6A53"/>
    <w:rsid w:val="009D6B30"/>
    <w:rsid w:val="009D7014"/>
    <w:rsid w:val="009D705B"/>
    <w:rsid w:val="009D71F6"/>
    <w:rsid w:val="009D73BC"/>
    <w:rsid w:val="009D761A"/>
    <w:rsid w:val="009D7994"/>
    <w:rsid w:val="009D7B93"/>
    <w:rsid w:val="009D7B95"/>
    <w:rsid w:val="009D7D22"/>
    <w:rsid w:val="009E013E"/>
    <w:rsid w:val="009E02F8"/>
    <w:rsid w:val="009E033C"/>
    <w:rsid w:val="009E0A24"/>
    <w:rsid w:val="009E0B71"/>
    <w:rsid w:val="009E0FC9"/>
    <w:rsid w:val="009E1B26"/>
    <w:rsid w:val="009E1C70"/>
    <w:rsid w:val="009E1DE5"/>
    <w:rsid w:val="009E2243"/>
    <w:rsid w:val="009E28B8"/>
    <w:rsid w:val="009E28E3"/>
    <w:rsid w:val="009E2F38"/>
    <w:rsid w:val="009E38D1"/>
    <w:rsid w:val="009E3CD3"/>
    <w:rsid w:val="009E4374"/>
    <w:rsid w:val="009E448E"/>
    <w:rsid w:val="009E4589"/>
    <w:rsid w:val="009E4655"/>
    <w:rsid w:val="009E4C75"/>
    <w:rsid w:val="009E4E5C"/>
    <w:rsid w:val="009E69B8"/>
    <w:rsid w:val="009E6C59"/>
    <w:rsid w:val="009E738B"/>
    <w:rsid w:val="009E75F2"/>
    <w:rsid w:val="009E7C12"/>
    <w:rsid w:val="009E7CE7"/>
    <w:rsid w:val="009E7E05"/>
    <w:rsid w:val="009F00D0"/>
    <w:rsid w:val="009F0228"/>
    <w:rsid w:val="009F08EC"/>
    <w:rsid w:val="009F0C0B"/>
    <w:rsid w:val="009F1644"/>
    <w:rsid w:val="009F1794"/>
    <w:rsid w:val="009F2273"/>
    <w:rsid w:val="009F229F"/>
    <w:rsid w:val="009F2BBD"/>
    <w:rsid w:val="009F326A"/>
    <w:rsid w:val="009F378C"/>
    <w:rsid w:val="009F3B67"/>
    <w:rsid w:val="009F3D3D"/>
    <w:rsid w:val="009F4021"/>
    <w:rsid w:val="009F452A"/>
    <w:rsid w:val="009F4AE4"/>
    <w:rsid w:val="009F4CC5"/>
    <w:rsid w:val="009F4DE4"/>
    <w:rsid w:val="009F4F4C"/>
    <w:rsid w:val="009F5124"/>
    <w:rsid w:val="009F58FB"/>
    <w:rsid w:val="009F5DA5"/>
    <w:rsid w:val="009F5F0E"/>
    <w:rsid w:val="009F6039"/>
    <w:rsid w:val="009F61C7"/>
    <w:rsid w:val="009F661F"/>
    <w:rsid w:val="009F6631"/>
    <w:rsid w:val="009F6890"/>
    <w:rsid w:val="009F6B2E"/>
    <w:rsid w:val="009F6CCD"/>
    <w:rsid w:val="009F6E3D"/>
    <w:rsid w:val="009F70C8"/>
    <w:rsid w:val="009F77F0"/>
    <w:rsid w:val="00A00177"/>
    <w:rsid w:val="00A0019A"/>
    <w:rsid w:val="00A00229"/>
    <w:rsid w:val="00A0062F"/>
    <w:rsid w:val="00A00D9C"/>
    <w:rsid w:val="00A01011"/>
    <w:rsid w:val="00A01118"/>
    <w:rsid w:val="00A013AD"/>
    <w:rsid w:val="00A01C59"/>
    <w:rsid w:val="00A01CF0"/>
    <w:rsid w:val="00A02082"/>
    <w:rsid w:val="00A0234B"/>
    <w:rsid w:val="00A02659"/>
    <w:rsid w:val="00A02AD2"/>
    <w:rsid w:val="00A02F04"/>
    <w:rsid w:val="00A031D1"/>
    <w:rsid w:val="00A0342D"/>
    <w:rsid w:val="00A044F6"/>
    <w:rsid w:val="00A04520"/>
    <w:rsid w:val="00A046D0"/>
    <w:rsid w:val="00A0476E"/>
    <w:rsid w:val="00A048DE"/>
    <w:rsid w:val="00A05333"/>
    <w:rsid w:val="00A0551B"/>
    <w:rsid w:val="00A055B8"/>
    <w:rsid w:val="00A061A4"/>
    <w:rsid w:val="00A06581"/>
    <w:rsid w:val="00A066E3"/>
    <w:rsid w:val="00A069BA"/>
    <w:rsid w:val="00A0715D"/>
    <w:rsid w:val="00A07714"/>
    <w:rsid w:val="00A07748"/>
    <w:rsid w:val="00A100FE"/>
    <w:rsid w:val="00A107B0"/>
    <w:rsid w:val="00A10886"/>
    <w:rsid w:val="00A1097D"/>
    <w:rsid w:val="00A10E56"/>
    <w:rsid w:val="00A11B90"/>
    <w:rsid w:val="00A1228D"/>
    <w:rsid w:val="00A12C0B"/>
    <w:rsid w:val="00A132F3"/>
    <w:rsid w:val="00A13600"/>
    <w:rsid w:val="00A138E3"/>
    <w:rsid w:val="00A13973"/>
    <w:rsid w:val="00A13A07"/>
    <w:rsid w:val="00A13A10"/>
    <w:rsid w:val="00A13B35"/>
    <w:rsid w:val="00A14043"/>
    <w:rsid w:val="00A14388"/>
    <w:rsid w:val="00A14FDD"/>
    <w:rsid w:val="00A15474"/>
    <w:rsid w:val="00A15562"/>
    <w:rsid w:val="00A1589F"/>
    <w:rsid w:val="00A15BA8"/>
    <w:rsid w:val="00A15DD8"/>
    <w:rsid w:val="00A15FED"/>
    <w:rsid w:val="00A16503"/>
    <w:rsid w:val="00A168F7"/>
    <w:rsid w:val="00A1692E"/>
    <w:rsid w:val="00A169E4"/>
    <w:rsid w:val="00A16B47"/>
    <w:rsid w:val="00A17B1D"/>
    <w:rsid w:val="00A20349"/>
    <w:rsid w:val="00A20777"/>
    <w:rsid w:val="00A20FA2"/>
    <w:rsid w:val="00A21458"/>
    <w:rsid w:val="00A215DD"/>
    <w:rsid w:val="00A219C0"/>
    <w:rsid w:val="00A21BDF"/>
    <w:rsid w:val="00A21D6B"/>
    <w:rsid w:val="00A22087"/>
    <w:rsid w:val="00A22500"/>
    <w:rsid w:val="00A22751"/>
    <w:rsid w:val="00A22B2F"/>
    <w:rsid w:val="00A22C42"/>
    <w:rsid w:val="00A22ED8"/>
    <w:rsid w:val="00A23484"/>
    <w:rsid w:val="00A23CA1"/>
    <w:rsid w:val="00A23D4A"/>
    <w:rsid w:val="00A23FF6"/>
    <w:rsid w:val="00A241C3"/>
    <w:rsid w:val="00A242BB"/>
    <w:rsid w:val="00A2470E"/>
    <w:rsid w:val="00A24D87"/>
    <w:rsid w:val="00A2506C"/>
    <w:rsid w:val="00A25560"/>
    <w:rsid w:val="00A2568C"/>
    <w:rsid w:val="00A25863"/>
    <w:rsid w:val="00A25C05"/>
    <w:rsid w:val="00A25F84"/>
    <w:rsid w:val="00A2656B"/>
    <w:rsid w:val="00A26A20"/>
    <w:rsid w:val="00A26A58"/>
    <w:rsid w:val="00A271B2"/>
    <w:rsid w:val="00A27433"/>
    <w:rsid w:val="00A275AE"/>
    <w:rsid w:val="00A27638"/>
    <w:rsid w:val="00A2780F"/>
    <w:rsid w:val="00A3061D"/>
    <w:rsid w:val="00A30D3C"/>
    <w:rsid w:val="00A312DC"/>
    <w:rsid w:val="00A31465"/>
    <w:rsid w:val="00A317B9"/>
    <w:rsid w:val="00A318F6"/>
    <w:rsid w:val="00A31A65"/>
    <w:rsid w:val="00A31B6E"/>
    <w:rsid w:val="00A32359"/>
    <w:rsid w:val="00A32D5A"/>
    <w:rsid w:val="00A32D86"/>
    <w:rsid w:val="00A32F3C"/>
    <w:rsid w:val="00A32F3E"/>
    <w:rsid w:val="00A334EC"/>
    <w:rsid w:val="00A33783"/>
    <w:rsid w:val="00A337A5"/>
    <w:rsid w:val="00A339CB"/>
    <w:rsid w:val="00A33C79"/>
    <w:rsid w:val="00A34269"/>
    <w:rsid w:val="00A34B93"/>
    <w:rsid w:val="00A35111"/>
    <w:rsid w:val="00A351E2"/>
    <w:rsid w:val="00A35299"/>
    <w:rsid w:val="00A352EE"/>
    <w:rsid w:val="00A35304"/>
    <w:rsid w:val="00A3537D"/>
    <w:rsid w:val="00A36580"/>
    <w:rsid w:val="00A3695F"/>
    <w:rsid w:val="00A3717C"/>
    <w:rsid w:val="00A37227"/>
    <w:rsid w:val="00A3726E"/>
    <w:rsid w:val="00A372D7"/>
    <w:rsid w:val="00A3745A"/>
    <w:rsid w:val="00A374C0"/>
    <w:rsid w:val="00A37BE5"/>
    <w:rsid w:val="00A37CE5"/>
    <w:rsid w:val="00A37FFB"/>
    <w:rsid w:val="00A40161"/>
    <w:rsid w:val="00A401C6"/>
    <w:rsid w:val="00A4029D"/>
    <w:rsid w:val="00A403FC"/>
    <w:rsid w:val="00A4047E"/>
    <w:rsid w:val="00A4077E"/>
    <w:rsid w:val="00A40AEC"/>
    <w:rsid w:val="00A41BD0"/>
    <w:rsid w:val="00A41F2C"/>
    <w:rsid w:val="00A424D5"/>
    <w:rsid w:val="00A424DF"/>
    <w:rsid w:val="00A4250D"/>
    <w:rsid w:val="00A42587"/>
    <w:rsid w:val="00A42801"/>
    <w:rsid w:val="00A42ADB"/>
    <w:rsid w:val="00A42C33"/>
    <w:rsid w:val="00A42D09"/>
    <w:rsid w:val="00A432F4"/>
    <w:rsid w:val="00A43596"/>
    <w:rsid w:val="00A43684"/>
    <w:rsid w:val="00A43BEE"/>
    <w:rsid w:val="00A44716"/>
    <w:rsid w:val="00A4613A"/>
    <w:rsid w:val="00A46576"/>
    <w:rsid w:val="00A466C1"/>
    <w:rsid w:val="00A46C12"/>
    <w:rsid w:val="00A46C8C"/>
    <w:rsid w:val="00A4728B"/>
    <w:rsid w:val="00A4773A"/>
    <w:rsid w:val="00A477E6"/>
    <w:rsid w:val="00A47809"/>
    <w:rsid w:val="00A47CC2"/>
    <w:rsid w:val="00A5005D"/>
    <w:rsid w:val="00A50A65"/>
    <w:rsid w:val="00A50FC6"/>
    <w:rsid w:val="00A51337"/>
    <w:rsid w:val="00A51A3D"/>
    <w:rsid w:val="00A51F8A"/>
    <w:rsid w:val="00A52284"/>
    <w:rsid w:val="00A523EE"/>
    <w:rsid w:val="00A52CA6"/>
    <w:rsid w:val="00A52DE9"/>
    <w:rsid w:val="00A53A2B"/>
    <w:rsid w:val="00A53CCF"/>
    <w:rsid w:val="00A53F64"/>
    <w:rsid w:val="00A542D6"/>
    <w:rsid w:val="00A544C3"/>
    <w:rsid w:val="00A54660"/>
    <w:rsid w:val="00A5471F"/>
    <w:rsid w:val="00A54BC0"/>
    <w:rsid w:val="00A54BDE"/>
    <w:rsid w:val="00A552F0"/>
    <w:rsid w:val="00A55693"/>
    <w:rsid w:val="00A56CDF"/>
    <w:rsid w:val="00A575A4"/>
    <w:rsid w:val="00A57762"/>
    <w:rsid w:val="00A57F49"/>
    <w:rsid w:val="00A6023C"/>
    <w:rsid w:val="00A60478"/>
    <w:rsid w:val="00A60685"/>
    <w:rsid w:val="00A61128"/>
    <w:rsid w:val="00A61392"/>
    <w:rsid w:val="00A61F8B"/>
    <w:rsid w:val="00A62366"/>
    <w:rsid w:val="00A6241A"/>
    <w:rsid w:val="00A62D44"/>
    <w:rsid w:val="00A63364"/>
    <w:rsid w:val="00A6338B"/>
    <w:rsid w:val="00A639C6"/>
    <w:rsid w:val="00A63A2B"/>
    <w:rsid w:val="00A64FAB"/>
    <w:rsid w:val="00A64FD7"/>
    <w:rsid w:val="00A652D5"/>
    <w:rsid w:val="00A6552E"/>
    <w:rsid w:val="00A655F9"/>
    <w:rsid w:val="00A658CA"/>
    <w:rsid w:val="00A65941"/>
    <w:rsid w:val="00A66486"/>
    <w:rsid w:val="00A6694A"/>
    <w:rsid w:val="00A66DA9"/>
    <w:rsid w:val="00A67396"/>
    <w:rsid w:val="00A701E3"/>
    <w:rsid w:val="00A703A6"/>
    <w:rsid w:val="00A715B9"/>
    <w:rsid w:val="00A71612"/>
    <w:rsid w:val="00A7192C"/>
    <w:rsid w:val="00A72102"/>
    <w:rsid w:val="00A72482"/>
    <w:rsid w:val="00A724E8"/>
    <w:rsid w:val="00A7257A"/>
    <w:rsid w:val="00A72736"/>
    <w:rsid w:val="00A727BC"/>
    <w:rsid w:val="00A727CC"/>
    <w:rsid w:val="00A73402"/>
    <w:rsid w:val="00A735BD"/>
    <w:rsid w:val="00A73AB6"/>
    <w:rsid w:val="00A73AB7"/>
    <w:rsid w:val="00A73B65"/>
    <w:rsid w:val="00A73B71"/>
    <w:rsid w:val="00A73EDC"/>
    <w:rsid w:val="00A74133"/>
    <w:rsid w:val="00A7428B"/>
    <w:rsid w:val="00A750B4"/>
    <w:rsid w:val="00A7581E"/>
    <w:rsid w:val="00A75D0A"/>
    <w:rsid w:val="00A766B0"/>
    <w:rsid w:val="00A769BC"/>
    <w:rsid w:val="00A76D18"/>
    <w:rsid w:val="00A775A8"/>
    <w:rsid w:val="00A7794D"/>
    <w:rsid w:val="00A77FA8"/>
    <w:rsid w:val="00A805C9"/>
    <w:rsid w:val="00A806DA"/>
    <w:rsid w:val="00A80897"/>
    <w:rsid w:val="00A808F2"/>
    <w:rsid w:val="00A80E04"/>
    <w:rsid w:val="00A8116D"/>
    <w:rsid w:val="00A81488"/>
    <w:rsid w:val="00A81D1F"/>
    <w:rsid w:val="00A81E00"/>
    <w:rsid w:val="00A820DD"/>
    <w:rsid w:val="00A82932"/>
    <w:rsid w:val="00A82E72"/>
    <w:rsid w:val="00A83050"/>
    <w:rsid w:val="00A832BB"/>
    <w:rsid w:val="00A83388"/>
    <w:rsid w:val="00A833A0"/>
    <w:rsid w:val="00A83960"/>
    <w:rsid w:val="00A840F1"/>
    <w:rsid w:val="00A841AA"/>
    <w:rsid w:val="00A8448E"/>
    <w:rsid w:val="00A8499E"/>
    <w:rsid w:val="00A84DB4"/>
    <w:rsid w:val="00A84F9B"/>
    <w:rsid w:val="00A850B4"/>
    <w:rsid w:val="00A85123"/>
    <w:rsid w:val="00A851A8"/>
    <w:rsid w:val="00A86047"/>
    <w:rsid w:val="00A861DC"/>
    <w:rsid w:val="00A86548"/>
    <w:rsid w:val="00A8691E"/>
    <w:rsid w:val="00A86CF2"/>
    <w:rsid w:val="00A86EC1"/>
    <w:rsid w:val="00A87AD3"/>
    <w:rsid w:val="00A87B49"/>
    <w:rsid w:val="00A90906"/>
    <w:rsid w:val="00A90D6F"/>
    <w:rsid w:val="00A913C0"/>
    <w:rsid w:val="00A91A26"/>
    <w:rsid w:val="00A927FF"/>
    <w:rsid w:val="00A92830"/>
    <w:rsid w:val="00A92D9D"/>
    <w:rsid w:val="00A93797"/>
    <w:rsid w:val="00A939B9"/>
    <w:rsid w:val="00A93C82"/>
    <w:rsid w:val="00A949DA"/>
    <w:rsid w:val="00A94C81"/>
    <w:rsid w:val="00A94FAC"/>
    <w:rsid w:val="00A953AF"/>
    <w:rsid w:val="00A9556F"/>
    <w:rsid w:val="00A955A9"/>
    <w:rsid w:val="00A9592E"/>
    <w:rsid w:val="00A96758"/>
    <w:rsid w:val="00A97EB4"/>
    <w:rsid w:val="00AA0626"/>
    <w:rsid w:val="00AA0914"/>
    <w:rsid w:val="00AA0A6C"/>
    <w:rsid w:val="00AA0C45"/>
    <w:rsid w:val="00AA10FC"/>
    <w:rsid w:val="00AA110D"/>
    <w:rsid w:val="00AA112C"/>
    <w:rsid w:val="00AA154A"/>
    <w:rsid w:val="00AA1A98"/>
    <w:rsid w:val="00AA1F38"/>
    <w:rsid w:val="00AA318F"/>
    <w:rsid w:val="00AA35EE"/>
    <w:rsid w:val="00AA360A"/>
    <w:rsid w:val="00AA36F9"/>
    <w:rsid w:val="00AA3B9E"/>
    <w:rsid w:val="00AA4277"/>
    <w:rsid w:val="00AA4604"/>
    <w:rsid w:val="00AA46DD"/>
    <w:rsid w:val="00AA48D9"/>
    <w:rsid w:val="00AA4B96"/>
    <w:rsid w:val="00AA4EEC"/>
    <w:rsid w:val="00AA4F26"/>
    <w:rsid w:val="00AA5062"/>
    <w:rsid w:val="00AA560D"/>
    <w:rsid w:val="00AA5778"/>
    <w:rsid w:val="00AA5DA0"/>
    <w:rsid w:val="00AA5E5D"/>
    <w:rsid w:val="00AA630B"/>
    <w:rsid w:val="00AA66E7"/>
    <w:rsid w:val="00AA6AEE"/>
    <w:rsid w:val="00AA6D6F"/>
    <w:rsid w:val="00AA73F9"/>
    <w:rsid w:val="00AA7E2F"/>
    <w:rsid w:val="00AA7FDF"/>
    <w:rsid w:val="00AB1199"/>
    <w:rsid w:val="00AB154A"/>
    <w:rsid w:val="00AB1644"/>
    <w:rsid w:val="00AB16A5"/>
    <w:rsid w:val="00AB194F"/>
    <w:rsid w:val="00AB1D6F"/>
    <w:rsid w:val="00AB1E71"/>
    <w:rsid w:val="00AB20FC"/>
    <w:rsid w:val="00AB27A6"/>
    <w:rsid w:val="00AB2A9A"/>
    <w:rsid w:val="00AB2DB7"/>
    <w:rsid w:val="00AB345D"/>
    <w:rsid w:val="00AB395F"/>
    <w:rsid w:val="00AB3C41"/>
    <w:rsid w:val="00AB451D"/>
    <w:rsid w:val="00AB4C21"/>
    <w:rsid w:val="00AB4E2C"/>
    <w:rsid w:val="00AB5090"/>
    <w:rsid w:val="00AB56A3"/>
    <w:rsid w:val="00AB5975"/>
    <w:rsid w:val="00AB63F3"/>
    <w:rsid w:val="00AB640C"/>
    <w:rsid w:val="00AB6493"/>
    <w:rsid w:val="00AB6706"/>
    <w:rsid w:val="00AB6ACF"/>
    <w:rsid w:val="00AB6AD0"/>
    <w:rsid w:val="00AB6E20"/>
    <w:rsid w:val="00AB7041"/>
    <w:rsid w:val="00AB756C"/>
    <w:rsid w:val="00AB7849"/>
    <w:rsid w:val="00AB7D0D"/>
    <w:rsid w:val="00AB7ED8"/>
    <w:rsid w:val="00AC05BC"/>
    <w:rsid w:val="00AC060F"/>
    <w:rsid w:val="00AC0C98"/>
    <w:rsid w:val="00AC0F7C"/>
    <w:rsid w:val="00AC1396"/>
    <w:rsid w:val="00AC1602"/>
    <w:rsid w:val="00AC1AFB"/>
    <w:rsid w:val="00AC2C1B"/>
    <w:rsid w:val="00AC2D01"/>
    <w:rsid w:val="00AC370B"/>
    <w:rsid w:val="00AC3E07"/>
    <w:rsid w:val="00AC3E0E"/>
    <w:rsid w:val="00AC3E66"/>
    <w:rsid w:val="00AC3F2C"/>
    <w:rsid w:val="00AC42EA"/>
    <w:rsid w:val="00AC43C7"/>
    <w:rsid w:val="00AC4FB8"/>
    <w:rsid w:val="00AC53EE"/>
    <w:rsid w:val="00AC5489"/>
    <w:rsid w:val="00AC6514"/>
    <w:rsid w:val="00AC6628"/>
    <w:rsid w:val="00AC668E"/>
    <w:rsid w:val="00AC6ABA"/>
    <w:rsid w:val="00AC6B0C"/>
    <w:rsid w:val="00AC6B6F"/>
    <w:rsid w:val="00AC707A"/>
    <w:rsid w:val="00AC70A9"/>
    <w:rsid w:val="00AC7345"/>
    <w:rsid w:val="00AC7791"/>
    <w:rsid w:val="00AC7961"/>
    <w:rsid w:val="00AC7C0C"/>
    <w:rsid w:val="00AC7DC0"/>
    <w:rsid w:val="00AC7E04"/>
    <w:rsid w:val="00AC7EB4"/>
    <w:rsid w:val="00AD0A82"/>
    <w:rsid w:val="00AD0D80"/>
    <w:rsid w:val="00AD0F39"/>
    <w:rsid w:val="00AD1322"/>
    <w:rsid w:val="00AD1BE8"/>
    <w:rsid w:val="00AD20FE"/>
    <w:rsid w:val="00AD2273"/>
    <w:rsid w:val="00AD23E9"/>
    <w:rsid w:val="00AD24F8"/>
    <w:rsid w:val="00AD254E"/>
    <w:rsid w:val="00AD29C3"/>
    <w:rsid w:val="00AD2CF2"/>
    <w:rsid w:val="00AD30E2"/>
    <w:rsid w:val="00AD38C2"/>
    <w:rsid w:val="00AD3B14"/>
    <w:rsid w:val="00AD3C51"/>
    <w:rsid w:val="00AD3FE2"/>
    <w:rsid w:val="00AD4C69"/>
    <w:rsid w:val="00AD5760"/>
    <w:rsid w:val="00AD5A46"/>
    <w:rsid w:val="00AD5AB1"/>
    <w:rsid w:val="00AD5CD2"/>
    <w:rsid w:val="00AD6802"/>
    <w:rsid w:val="00AD6CB1"/>
    <w:rsid w:val="00AD6E9B"/>
    <w:rsid w:val="00AD6F07"/>
    <w:rsid w:val="00AD7100"/>
    <w:rsid w:val="00AD79CE"/>
    <w:rsid w:val="00AD7C01"/>
    <w:rsid w:val="00AE01E8"/>
    <w:rsid w:val="00AE1597"/>
    <w:rsid w:val="00AE169B"/>
    <w:rsid w:val="00AE2057"/>
    <w:rsid w:val="00AE2FA1"/>
    <w:rsid w:val="00AE332F"/>
    <w:rsid w:val="00AE3D36"/>
    <w:rsid w:val="00AE41AD"/>
    <w:rsid w:val="00AE42B3"/>
    <w:rsid w:val="00AE453B"/>
    <w:rsid w:val="00AE4993"/>
    <w:rsid w:val="00AE4D41"/>
    <w:rsid w:val="00AE51B2"/>
    <w:rsid w:val="00AE5830"/>
    <w:rsid w:val="00AE5DD7"/>
    <w:rsid w:val="00AE5F42"/>
    <w:rsid w:val="00AE695A"/>
    <w:rsid w:val="00AE6A26"/>
    <w:rsid w:val="00AE6AFA"/>
    <w:rsid w:val="00AE6CD0"/>
    <w:rsid w:val="00AE7046"/>
    <w:rsid w:val="00AE7185"/>
    <w:rsid w:val="00AE7355"/>
    <w:rsid w:val="00AE77FC"/>
    <w:rsid w:val="00AE7C09"/>
    <w:rsid w:val="00AE7C4F"/>
    <w:rsid w:val="00AF07BD"/>
    <w:rsid w:val="00AF0BAF"/>
    <w:rsid w:val="00AF0D1C"/>
    <w:rsid w:val="00AF0E29"/>
    <w:rsid w:val="00AF115E"/>
    <w:rsid w:val="00AF19DB"/>
    <w:rsid w:val="00AF1F98"/>
    <w:rsid w:val="00AF219E"/>
    <w:rsid w:val="00AF25B3"/>
    <w:rsid w:val="00AF2645"/>
    <w:rsid w:val="00AF3A98"/>
    <w:rsid w:val="00AF3E5B"/>
    <w:rsid w:val="00AF3F75"/>
    <w:rsid w:val="00AF3FFA"/>
    <w:rsid w:val="00AF41CB"/>
    <w:rsid w:val="00AF44D2"/>
    <w:rsid w:val="00AF495D"/>
    <w:rsid w:val="00AF57E8"/>
    <w:rsid w:val="00AF5CC4"/>
    <w:rsid w:val="00AF60B7"/>
    <w:rsid w:val="00AF685E"/>
    <w:rsid w:val="00AF6A3D"/>
    <w:rsid w:val="00AF6A8C"/>
    <w:rsid w:val="00AF6FC4"/>
    <w:rsid w:val="00AF76E7"/>
    <w:rsid w:val="00AF7794"/>
    <w:rsid w:val="00AF7B9E"/>
    <w:rsid w:val="00AF7C4F"/>
    <w:rsid w:val="00AF7EC9"/>
    <w:rsid w:val="00AF7F56"/>
    <w:rsid w:val="00B002A5"/>
    <w:rsid w:val="00B0109D"/>
    <w:rsid w:val="00B0138A"/>
    <w:rsid w:val="00B01F83"/>
    <w:rsid w:val="00B02050"/>
    <w:rsid w:val="00B02113"/>
    <w:rsid w:val="00B0218B"/>
    <w:rsid w:val="00B02563"/>
    <w:rsid w:val="00B02993"/>
    <w:rsid w:val="00B02A03"/>
    <w:rsid w:val="00B02BAF"/>
    <w:rsid w:val="00B02CD3"/>
    <w:rsid w:val="00B030C9"/>
    <w:rsid w:val="00B03138"/>
    <w:rsid w:val="00B03320"/>
    <w:rsid w:val="00B0337F"/>
    <w:rsid w:val="00B033EA"/>
    <w:rsid w:val="00B0400D"/>
    <w:rsid w:val="00B04A49"/>
    <w:rsid w:val="00B058BA"/>
    <w:rsid w:val="00B05D3C"/>
    <w:rsid w:val="00B06082"/>
    <w:rsid w:val="00B06A4E"/>
    <w:rsid w:val="00B073AE"/>
    <w:rsid w:val="00B07503"/>
    <w:rsid w:val="00B077B9"/>
    <w:rsid w:val="00B07B47"/>
    <w:rsid w:val="00B07CAC"/>
    <w:rsid w:val="00B07D8A"/>
    <w:rsid w:val="00B10091"/>
    <w:rsid w:val="00B10260"/>
    <w:rsid w:val="00B105F9"/>
    <w:rsid w:val="00B10919"/>
    <w:rsid w:val="00B1096B"/>
    <w:rsid w:val="00B10ABF"/>
    <w:rsid w:val="00B11262"/>
    <w:rsid w:val="00B11550"/>
    <w:rsid w:val="00B11CF1"/>
    <w:rsid w:val="00B11D55"/>
    <w:rsid w:val="00B11E0A"/>
    <w:rsid w:val="00B12A3A"/>
    <w:rsid w:val="00B12F8B"/>
    <w:rsid w:val="00B13452"/>
    <w:rsid w:val="00B1381D"/>
    <w:rsid w:val="00B13D29"/>
    <w:rsid w:val="00B14442"/>
    <w:rsid w:val="00B14B0F"/>
    <w:rsid w:val="00B14DD7"/>
    <w:rsid w:val="00B154E3"/>
    <w:rsid w:val="00B15C87"/>
    <w:rsid w:val="00B16263"/>
    <w:rsid w:val="00B16D51"/>
    <w:rsid w:val="00B16E7C"/>
    <w:rsid w:val="00B176D0"/>
    <w:rsid w:val="00B176FC"/>
    <w:rsid w:val="00B17BB1"/>
    <w:rsid w:val="00B20001"/>
    <w:rsid w:val="00B2118E"/>
    <w:rsid w:val="00B21668"/>
    <w:rsid w:val="00B21700"/>
    <w:rsid w:val="00B2189A"/>
    <w:rsid w:val="00B21E0C"/>
    <w:rsid w:val="00B227D8"/>
    <w:rsid w:val="00B22EA1"/>
    <w:rsid w:val="00B237FA"/>
    <w:rsid w:val="00B23D9E"/>
    <w:rsid w:val="00B23EF3"/>
    <w:rsid w:val="00B243E6"/>
    <w:rsid w:val="00B24C1E"/>
    <w:rsid w:val="00B252B1"/>
    <w:rsid w:val="00B252E5"/>
    <w:rsid w:val="00B256E2"/>
    <w:rsid w:val="00B258F6"/>
    <w:rsid w:val="00B25922"/>
    <w:rsid w:val="00B26081"/>
    <w:rsid w:val="00B261E9"/>
    <w:rsid w:val="00B27700"/>
    <w:rsid w:val="00B27F49"/>
    <w:rsid w:val="00B30055"/>
    <w:rsid w:val="00B3007F"/>
    <w:rsid w:val="00B302BF"/>
    <w:rsid w:val="00B30425"/>
    <w:rsid w:val="00B30B07"/>
    <w:rsid w:val="00B30D95"/>
    <w:rsid w:val="00B31222"/>
    <w:rsid w:val="00B312D5"/>
    <w:rsid w:val="00B3183D"/>
    <w:rsid w:val="00B31B7A"/>
    <w:rsid w:val="00B31C0E"/>
    <w:rsid w:val="00B31C2A"/>
    <w:rsid w:val="00B31E5E"/>
    <w:rsid w:val="00B32628"/>
    <w:rsid w:val="00B3282D"/>
    <w:rsid w:val="00B32B88"/>
    <w:rsid w:val="00B332BC"/>
    <w:rsid w:val="00B3337D"/>
    <w:rsid w:val="00B3356C"/>
    <w:rsid w:val="00B335C7"/>
    <w:rsid w:val="00B33BE9"/>
    <w:rsid w:val="00B33F65"/>
    <w:rsid w:val="00B340BC"/>
    <w:rsid w:val="00B34199"/>
    <w:rsid w:val="00B3484A"/>
    <w:rsid w:val="00B355C6"/>
    <w:rsid w:val="00B357A3"/>
    <w:rsid w:val="00B35ADC"/>
    <w:rsid w:val="00B35CCF"/>
    <w:rsid w:val="00B3643B"/>
    <w:rsid w:val="00B36AEC"/>
    <w:rsid w:val="00B36F0C"/>
    <w:rsid w:val="00B37258"/>
    <w:rsid w:val="00B3725E"/>
    <w:rsid w:val="00B37666"/>
    <w:rsid w:val="00B37B2C"/>
    <w:rsid w:val="00B40160"/>
    <w:rsid w:val="00B4051C"/>
    <w:rsid w:val="00B40B63"/>
    <w:rsid w:val="00B40D46"/>
    <w:rsid w:val="00B41E31"/>
    <w:rsid w:val="00B42B37"/>
    <w:rsid w:val="00B4312D"/>
    <w:rsid w:val="00B43903"/>
    <w:rsid w:val="00B43DBA"/>
    <w:rsid w:val="00B44467"/>
    <w:rsid w:val="00B44784"/>
    <w:rsid w:val="00B44A4C"/>
    <w:rsid w:val="00B44FED"/>
    <w:rsid w:val="00B45582"/>
    <w:rsid w:val="00B45AA1"/>
    <w:rsid w:val="00B45C0C"/>
    <w:rsid w:val="00B45DAE"/>
    <w:rsid w:val="00B45DC7"/>
    <w:rsid w:val="00B463EE"/>
    <w:rsid w:val="00B4659D"/>
    <w:rsid w:val="00B46621"/>
    <w:rsid w:val="00B46860"/>
    <w:rsid w:val="00B46AFA"/>
    <w:rsid w:val="00B4772E"/>
    <w:rsid w:val="00B47E48"/>
    <w:rsid w:val="00B47E6B"/>
    <w:rsid w:val="00B5019A"/>
    <w:rsid w:val="00B501E5"/>
    <w:rsid w:val="00B503A5"/>
    <w:rsid w:val="00B504FB"/>
    <w:rsid w:val="00B50E8B"/>
    <w:rsid w:val="00B510D1"/>
    <w:rsid w:val="00B51A86"/>
    <w:rsid w:val="00B51B92"/>
    <w:rsid w:val="00B523D0"/>
    <w:rsid w:val="00B524F7"/>
    <w:rsid w:val="00B532A0"/>
    <w:rsid w:val="00B532D3"/>
    <w:rsid w:val="00B535DC"/>
    <w:rsid w:val="00B53A46"/>
    <w:rsid w:val="00B54389"/>
    <w:rsid w:val="00B54EEA"/>
    <w:rsid w:val="00B550A7"/>
    <w:rsid w:val="00B550D7"/>
    <w:rsid w:val="00B5582A"/>
    <w:rsid w:val="00B568B7"/>
    <w:rsid w:val="00B56C76"/>
    <w:rsid w:val="00B57584"/>
    <w:rsid w:val="00B579AF"/>
    <w:rsid w:val="00B579CF"/>
    <w:rsid w:val="00B6018D"/>
    <w:rsid w:val="00B61641"/>
    <w:rsid w:val="00B61C74"/>
    <w:rsid w:val="00B62206"/>
    <w:rsid w:val="00B6256B"/>
    <w:rsid w:val="00B62700"/>
    <w:rsid w:val="00B62A93"/>
    <w:rsid w:val="00B62EB7"/>
    <w:rsid w:val="00B62FEF"/>
    <w:rsid w:val="00B63325"/>
    <w:rsid w:val="00B6333E"/>
    <w:rsid w:val="00B6373D"/>
    <w:rsid w:val="00B63AE2"/>
    <w:rsid w:val="00B63E47"/>
    <w:rsid w:val="00B63F15"/>
    <w:rsid w:val="00B640B6"/>
    <w:rsid w:val="00B64108"/>
    <w:rsid w:val="00B64C30"/>
    <w:rsid w:val="00B651B1"/>
    <w:rsid w:val="00B65399"/>
    <w:rsid w:val="00B655F4"/>
    <w:rsid w:val="00B65695"/>
    <w:rsid w:val="00B65971"/>
    <w:rsid w:val="00B65BAE"/>
    <w:rsid w:val="00B66B85"/>
    <w:rsid w:val="00B671F2"/>
    <w:rsid w:val="00B677DD"/>
    <w:rsid w:val="00B67A68"/>
    <w:rsid w:val="00B7010C"/>
    <w:rsid w:val="00B7019B"/>
    <w:rsid w:val="00B70BAC"/>
    <w:rsid w:val="00B70BEF"/>
    <w:rsid w:val="00B70C78"/>
    <w:rsid w:val="00B70E64"/>
    <w:rsid w:val="00B7275E"/>
    <w:rsid w:val="00B727DC"/>
    <w:rsid w:val="00B735D2"/>
    <w:rsid w:val="00B73AA5"/>
    <w:rsid w:val="00B73F05"/>
    <w:rsid w:val="00B741F5"/>
    <w:rsid w:val="00B743B9"/>
    <w:rsid w:val="00B74B2F"/>
    <w:rsid w:val="00B75210"/>
    <w:rsid w:val="00B75586"/>
    <w:rsid w:val="00B7560B"/>
    <w:rsid w:val="00B7582F"/>
    <w:rsid w:val="00B75B16"/>
    <w:rsid w:val="00B75C19"/>
    <w:rsid w:val="00B75F19"/>
    <w:rsid w:val="00B765D5"/>
    <w:rsid w:val="00B7675B"/>
    <w:rsid w:val="00B76B0E"/>
    <w:rsid w:val="00B7768D"/>
    <w:rsid w:val="00B77BB1"/>
    <w:rsid w:val="00B8013A"/>
    <w:rsid w:val="00B80368"/>
    <w:rsid w:val="00B80610"/>
    <w:rsid w:val="00B80C84"/>
    <w:rsid w:val="00B80E60"/>
    <w:rsid w:val="00B81068"/>
    <w:rsid w:val="00B81264"/>
    <w:rsid w:val="00B8150D"/>
    <w:rsid w:val="00B827C4"/>
    <w:rsid w:val="00B8385B"/>
    <w:rsid w:val="00B83A90"/>
    <w:rsid w:val="00B84613"/>
    <w:rsid w:val="00B84B57"/>
    <w:rsid w:val="00B84E2A"/>
    <w:rsid w:val="00B850FC"/>
    <w:rsid w:val="00B85506"/>
    <w:rsid w:val="00B85A83"/>
    <w:rsid w:val="00B85D65"/>
    <w:rsid w:val="00B86019"/>
    <w:rsid w:val="00B8624A"/>
    <w:rsid w:val="00B86E5A"/>
    <w:rsid w:val="00B87152"/>
    <w:rsid w:val="00B87189"/>
    <w:rsid w:val="00B87E09"/>
    <w:rsid w:val="00B90406"/>
    <w:rsid w:val="00B905AC"/>
    <w:rsid w:val="00B909B4"/>
    <w:rsid w:val="00B91231"/>
    <w:rsid w:val="00B913BC"/>
    <w:rsid w:val="00B91424"/>
    <w:rsid w:val="00B92139"/>
    <w:rsid w:val="00B9213E"/>
    <w:rsid w:val="00B92436"/>
    <w:rsid w:val="00B925A7"/>
    <w:rsid w:val="00B92E98"/>
    <w:rsid w:val="00B9301A"/>
    <w:rsid w:val="00B932D7"/>
    <w:rsid w:val="00B934DF"/>
    <w:rsid w:val="00B93974"/>
    <w:rsid w:val="00B93AD8"/>
    <w:rsid w:val="00B94719"/>
    <w:rsid w:val="00B9478A"/>
    <w:rsid w:val="00B94A51"/>
    <w:rsid w:val="00B94D34"/>
    <w:rsid w:val="00B94E91"/>
    <w:rsid w:val="00B95263"/>
    <w:rsid w:val="00B95498"/>
    <w:rsid w:val="00B954C0"/>
    <w:rsid w:val="00B956F2"/>
    <w:rsid w:val="00B95B78"/>
    <w:rsid w:val="00B95D82"/>
    <w:rsid w:val="00B963A2"/>
    <w:rsid w:val="00B96540"/>
    <w:rsid w:val="00B9687F"/>
    <w:rsid w:val="00B96B9C"/>
    <w:rsid w:val="00B97825"/>
    <w:rsid w:val="00BA0573"/>
    <w:rsid w:val="00BA0807"/>
    <w:rsid w:val="00BA09A3"/>
    <w:rsid w:val="00BA0CC6"/>
    <w:rsid w:val="00BA0E9E"/>
    <w:rsid w:val="00BA1475"/>
    <w:rsid w:val="00BA1765"/>
    <w:rsid w:val="00BA1AAD"/>
    <w:rsid w:val="00BA1AE6"/>
    <w:rsid w:val="00BA26FF"/>
    <w:rsid w:val="00BA28E1"/>
    <w:rsid w:val="00BA2B33"/>
    <w:rsid w:val="00BA3A18"/>
    <w:rsid w:val="00BA4348"/>
    <w:rsid w:val="00BA4423"/>
    <w:rsid w:val="00BA45E6"/>
    <w:rsid w:val="00BA463C"/>
    <w:rsid w:val="00BA524A"/>
    <w:rsid w:val="00BA5478"/>
    <w:rsid w:val="00BA54EF"/>
    <w:rsid w:val="00BA5758"/>
    <w:rsid w:val="00BA5A21"/>
    <w:rsid w:val="00BA5A58"/>
    <w:rsid w:val="00BA5C8C"/>
    <w:rsid w:val="00BA617A"/>
    <w:rsid w:val="00BA6D14"/>
    <w:rsid w:val="00BA7400"/>
    <w:rsid w:val="00BA760D"/>
    <w:rsid w:val="00BA7ED2"/>
    <w:rsid w:val="00BB0290"/>
    <w:rsid w:val="00BB09F0"/>
    <w:rsid w:val="00BB0D34"/>
    <w:rsid w:val="00BB0E10"/>
    <w:rsid w:val="00BB117A"/>
    <w:rsid w:val="00BB117D"/>
    <w:rsid w:val="00BB12FA"/>
    <w:rsid w:val="00BB133A"/>
    <w:rsid w:val="00BB136F"/>
    <w:rsid w:val="00BB1447"/>
    <w:rsid w:val="00BB1A50"/>
    <w:rsid w:val="00BB1B9A"/>
    <w:rsid w:val="00BB23EF"/>
    <w:rsid w:val="00BB2884"/>
    <w:rsid w:val="00BB3322"/>
    <w:rsid w:val="00BB348E"/>
    <w:rsid w:val="00BB34BA"/>
    <w:rsid w:val="00BB356A"/>
    <w:rsid w:val="00BB41C5"/>
    <w:rsid w:val="00BB439C"/>
    <w:rsid w:val="00BB4D2C"/>
    <w:rsid w:val="00BB4D49"/>
    <w:rsid w:val="00BB4F2A"/>
    <w:rsid w:val="00BB5986"/>
    <w:rsid w:val="00BB5B0B"/>
    <w:rsid w:val="00BB5D17"/>
    <w:rsid w:val="00BB6AA1"/>
    <w:rsid w:val="00BB6B31"/>
    <w:rsid w:val="00BB6BF4"/>
    <w:rsid w:val="00BB71EE"/>
    <w:rsid w:val="00BB7CC4"/>
    <w:rsid w:val="00BB7F82"/>
    <w:rsid w:val="00BC056F"/>
    <w:rsid w:val="00BC05F1"/>
    <w:rsid w:val="00BC0B0F"/>
    <w:rsid w:val="00BC0C18"/>
    <w:rsid w:val="00BC125E"/>
    <w:rsid w:val="00BC1446"/>
    <w:rsid w:val="00BC162C"/>
    <w:rsid w:val="00BC1CF8"/>
    <w:rsid w:val="00BC1FF2"/>
    <w:rsid w:val="00BC2831"/>
    <w:rsid w:val="00BC2C4A"/>
    <w:rsid w:val="00BC2FFD"/>
    <w:rsid w:val="00BC312D"/>
    <w:rsid w:val="00BC3C15"/>
    <w:rsid w:val="00BC4044"/>
    <w:rsid w:val="00BC4989"/>
    <w:rsid w:val="00BC4FAC"/>
    <w:rsid w:val="00BC4FD1"/>
    <w:rsid w:val="00BC546F"/>
    <w:rsid w:val="00BC617F"/>
    <w:rsid w:val="00BC61F0"/>
    <w:rsid w:val="00BC63B9"/>
    <w:rsid w:val="00BC65B6"/>
    <w:rsid w:val="00BC67A6"/>
    <w:rsid w:val="00BC6942"/>
    <w:rsid w:val="00BC6D92"/>
    <w:rsid w:val="00BC714F"/>
    <w:rsid w:val="00BC719A"/>
    <w:rsid w:val="00BC78E5"/>
    <w:rsid w:val="00BD08E9"/>
    <w:rsid w:val="00BD1777"/>
    <w:rsid w:val="00BD17BD"/>
    <w:rsid w:val="00BD22A2"/>
    <w:rsid w:val="00BD22A7"/>
    <w:rsid w:val="00BD248D"/>
    <w:rsid w:val="00BD28A9"/>
    <w:rsid w:val="00BD3238"/>
    <w:rsid w:val="00BD336E"/>
    <w:rsid w:val="00BD3A39"/>
    <w:rsid w:val="00BD3B36"/>
    <w:rsid w:val="00BD406A"/>
    <w:rsid w:val="00BD4308"/>
    <w:rsid w:val="00BD44F4"/>
    <w:rsid w:val="00BD4C3C"/>
    <w:rsid w:val="00BD4E51"/>
    <w:rsid w:val="00BD528F"/>
    <w:rsid w:val="00BD543C"/>
    <w:rsid w:val="00BD5469"/>
    <w:rsid w:val="00BD57C4"/>
    <w:rsid w:val="00BD617E"/>
    <w:rsid w:val="00BD654F"/>
    <w:rsid w:val="00BD67E8"/>
    <w:rsid w:val="00BD6A14"/>
    <w:rsid w:val="00BD6AB4"/>
    <w:rsid w:val="00BD6D14"/>
    <w:rsid w:val="00BD6EF5"/>
    <w:rsid w:val="00BD7279"/>
    <w:rsid w:val="00BD74A2"/>
    <w:rsid w:val="00BE0263"/>
    <w:rsid w:val="00BE069E"/>
    <w:rsid w:val="00BE0CA8"/>
    <w:rsid w:val="00BE105B"/>
    <w:rsid w:val="00BE1097"/>
    <w:rsid w:val="00BE1415"/>
    <w:rsid w:val="00BE15CF"/>
    <w:rsid w:val="00BE1700"/>
    <w:rsid w:val="00BE1A36"/>
    <w:rsid w:val="00BE2322"/>
    <w:rsid w:val="00BE2486"/>
    <w:rsid w:val="00BE299B"/>
    <w:rsid w:val="00BE3198"/>
    <w:rsid w:val="00BE3AD5"/>
    <w:rsid w:val="00BE3E3C"/>
    <w:rsid w:val="00BE414B"/>
    <w:rsid w:val="00BE4E46"/>
    <w:rsid w:val="00BE51C8"/>
    <w:rsid w:val="00BE5506"/>
    <w:rsid w:val="00BE6155"/>
    <w:rsid w:val="00BE61B2"/>
    <w:rsid w:val="00BE6357"/>
    <w:rsid w:val="00BE6526"/>
    <w:rsid w:val="00BE66F6"/>
    <w:rsid w:val="00BE74D1"/>
    <w:rsid w:val="00BE76AD"/>
    <w:rsid w:val="00BE7FC5"/>
    <w:rsid w:val="00BF0043"/>
    <w:rsid w:val="00BF041A"/>
    <w:rsid w:val="00BF12ED"/>
    <w:rsid w:val="00BF15BD"/>
    <w:rsid w:val="00BF1716"/>
    <w:rsid w:val="00BF1A15"/>
    <w:rsid w:val="00BF2028"/>
    <w:rsid w:val="00BF20BA"/>
    <w:rsid w:val="00BF29BE"/>
    <w:rsid w:val="00BF2FAC"/>
    <w:rsid w:val="00BF303D"/>
    <w:rsid w:val="00BF3766"/>
    <w:rsid w:val="00BF3AF2"/>
    <w:rsid w:val="00BF46A5"/>
    <w:rsid w:val="00BF4AB8"/>
    <w:rsid w:val="00BF4F5A"/>
    <w:rsid w:val="00BF52BC"/>
    <w:rsid w:val="00BF539B"/>
    <w:rsid w:val="00BF5576"/>
    <w:rsid w:val="00BF58DB"/>
    <w:rsid w:val="00BF5B01"/>
    <w:rsid w:val="00BF5FEE"/>
    <w:rsid w:val="00BF63EF"/>
    <w:rsid w:val="00BF670E"/>
    <w:rsid w:val="00BF69BA"/>
    <w:rsid w:val="00BF76B4"/>
    <w:rsid w:val="00BF76C7"/>
    <w:rsid w:val="00BF779C"/>
    <w:rsid w:val="00BF7BC5"/>
    <w:rsid w:val="00C00E75"/>
    <w:rsid w:val="00C00EB3"/>
    <w:rsid w:val="00C01A5D"/>
    <w:rsid w:val="00C01A91"/>
    <w:rsid w:val="00C01BEB"/>
    <w:rsid w:val="00C01F9F"/>
    <w:rsid w:val="00C02168"/>
    <w:rsid w:val="00C030A5"/>
    <w:rsid w:val="00C0371B"/>
    <w:rsid w:val="00C03BE6"/>
    <w:rsid w:val="00C0423E"/>
    <w:rsid w:val="00C0443C"/>
    <w:rsid w:val="00C045EB"/>
    <w:rsid w:val="00C05035"/>
    <w:rsid w:val="00C05132"/>
    <w:rsid w:val="00C05302"/>
    <w:rsid w:val="00C0533B"/>
    <w:rsid w:val="00C05810"/>
    <w:rsid w:val="00C058E6"/>
    <w:rsid w:val="00C060F4"/>
    <w:rsid w:val="00C06322"/>
    <w:rsid w:val="00C0633F"/>
    <w:rsid w:val="00C06582"/>
    <w:rsid w:val="00C06796"/>
    <w:rsid w:val="00C06E03"/>
    <w:rsid w:val="00C06EBD"/>
    <w:rsid w:val="00C07014"/>
    <w:rsid w:val="00C074F2"/>
    <w:rsid w:val="00C07808"/>
    <w:rsid w:val="00C1011D"/>
    <w:rsid w:val="00C10277"/>
    <w:rsid w:val="00C1033B"/>
    <w:rsid w:val="00C106D4"/>
    <w:rsid w:val="00C10DA2"/>
    <w:rsid w:val="00C10F07"/>
    <w:rsid w:val="00C110AB"/>
    <w:rsid w:val="00C112F8"/>
    <w:rsid w:val="00C11897"/>
    <w:rsid w:val="00C11A8B"/>
    <w:rsid w:val="00C1245E"/>
    <w:rsid w:val="00C12587"/>
    <w:rsid w:val="00C12F69"/>
    <w:rsid w:val="00C13C4E"/>
    <w:rsid w:val="00C13CC5"/>
    <w:rsid w:val="00C14387"/>
    <w:rsid w:val="00C14841"/>
    <w:rsid w:val="00C14F31"/>
    <w:rsid w:val="00C150F0"/>
    <w:rsid w:val="00C15118"/>
    <w:rsid w:val="00C15496"/>
    <w:rsid w:val="00C158FA"/>
    <w:rsid w:val="00C15C37"/>
    <w:rsid w:val="00C15CA0"/>
    <w:rsid w:val="00C15EB1"/>
    <w:rsid w:val="00C163C5"/>
    <w:rsid w:val="00C166EC"/>
    <w:rsid w:val="00C1687E"/>
    <w:rsid w:val="00C16AC1"/>
    <w:rsid w:val="00C16B7A"/>
    <w:rsid w:val="00C16D31"/>
    <w:rsid w:val="00C1775B"/>
    <w:rsid w:val="00C177B8"/>
    <w:rsid w:val="00C17E17"/>
    <w:rsid w:val="00C20399"/>
    <w:rsid w:val="00C20CD9"/>
    <w:rsid w:val="00C20E4A"/>
    <w:rsid w:val="00C2154F"/>
    <w:rsid w:val="00C21C75"/>
    <w:rsid w:val="00C21F91"/>
    <w:rsid w:val="00C22081"/>
    <w:rsid w:val="00C22657"/>
    <w:rsid w:val="00C22662"/>
    <w:rsid w:val="00C228A6"/>
    <w:rsid w:val="00C22976"/>
    <w:rsid w:val="00C22C5D"/>
    <w:rsid w:val="00C22D8B"/>
    <w:rsid w:val="00C23385"/>
    <w:rsid w:val="00C23DA2"/>
    <w:rsid w:val="00C24158"/>
    <w:rsid w:val="00C24198"/>
    <w:rsid w:val="00C24488"/>
    <w:rsid w:val="00C248E4"/>
    <w:rsid w:val="00C24A56"/>
    <w:rsid w:val="00C24B6B"/>
    <w:rsid w:val="00C24DEE"/>
    <w:rsid w:val="00C25700"/>
    <w:rsid w:val="00C257AD"/>
    <w:rsid w:val="00C25A18"/>
    <w:rsid w:val="00C25F66"/>
    <w:rsid w:val="00C266CB"/>
    <w:rsid w:val="00C2691F"/>
    <w:rsid w:val="00C2698A"/>
    <w:rsid w:val="00C26B3C"/>
    <w:rsid w:val="00C2742B"/>
    <w:rsid w:val="00C27A4B"/>
    <w:rsid w:val="00C27AF2"/>
    <w:rsid w:val="00C27BC5"/>
    <w:rsid w:val="00C27CEF"/>
    <w:rsid w:val="00C30061"/>
    <w:rsid w:val="00C302CB"/>
    <w:rsid w:val="00C306C8"/>
    <w:rsid w:val="00C30D22"/>
    <w:rsid w:val="00C30FC6"/>
    <w:rsid w:val="00C316B5"/>
    <w:rsid w:val="00C31ADF"/>
    <w:rsid w:val="00C32911"/>
    <w:rsid w:val="00C329F9"/>
    <w:rsid w:val="00C32B83"/>
    <w:rsid w:val="00C3425F"/>
    <w:rsid w:val="00C34545"/>
    <w:rsid w:val="00C3514E"/>
    <w:rsid w:val="00C3544C"/>
    <w:rsid w:val="00C35A58"/>
    <w:rsid w:val="00C35AC3"/>
    <w:rsid w:val="00C35B71"/>
    <w:rsid w:val="00C35B95"/>
    <w:rsid w:val="00C36468"/>
    <w:rsid w:val="00C365F5"/>
    <w:rsid w:val="00C36880"/>
    <w:rsid w:val="00C36975"/>
    <w:rsid w:val="00C36AEA"/>
    <w:rsid w:val="00C36B6A"/>
    <w:rsid w:val="00C37061"/>
    <w:rsid w:val="00C3730A"/>
    <w:rsid w:val="00C3759A"/>
    <w:rsid w:val="00C37B28"/>
    <w:rsid w:val="00C37F03"/>
    <w:rsid w:val="00C40EF4"/>
    <w:rsid w:val="00C41901"/>
    <w:rsid w:val="00C41E56"/>
    <w:rsid w:val="00C420FD"/>
    <w:rsid w:val="00C422D4"/>
    <w:rsid w:val="00C4245D"/>
    <w:rsid w:val="00C425B0"/>
    <w:rsid w:val="00C426E7"/>
    <w:rsid w:val="00C438FF"/>
    <w:rsid w:val="00C44051"/>
    <w:rsid w:val="00C44504"/>
    <w:rsid w:val="00C44D3C"/>
    <w:rsid w:val="00C44E00"/>
    <w:rsid w:val="00C44FB3"/>
    <w:rsid w:val="00C4528F"/>
    <w:rsid w:val="00C4569C"/>
    <w:rsid w:val="00C465C6"/>
    <w:rsid w:val="00C46C66"/>
    <w:rsid w:val="00C46E2D"/>
    <w:rsid w:val="00C46F2E"/>
    <w:rsid w:val="00C470E6"/>
    <w:rsid w:val="00C4717E"/>
    <w:rsid w:val="00C473F3"/>
    <w:rsid w:val="00C47E0C"/>
    <w:rsid w:val="00C5051C"/>
    <w:rsid w:val="00C5080F"/>
    <w:rsid w:val="00C50E5E"/>
    <w:rsid w:val="00C511BD"/>
    <w:rsid w:val="00C51520"/>
    <w:rsid w:val="00C515BE"/>
    <w:rsid w:val="00C51A0E"/>
    <w:rsid w:val="00C51B36"/>
    <w:rsid w:val="00C52026"/>
    <w:rsid w:val="00C52862"/>
    <w:rsid w:val="00C52CA9"/>
    <w:rsid w:val="00C5310B"/>
    <w:rsid w:val="00C53188"/>
    <w:rsid w:val="00C539C9"/>
    <w:rsid w:val="00C53A91"/>
    <w:rsid w:val="00C53ABC"/>
    <w:rsid w:val="00C54124"/>
    <w:rsid w:val="00C544F2"/>
    <w:rsid w:val="00C544F8"/>
    <w:rsid w:val="00C5471D"/>
    <w:rsid w:val="00C54ACC"/>
    <w:rsid w:val="00C54BA7"/>
    <w:rsid w:val="00C54DD6"/>
    <w:rsid w:val="00C54FCD"/>
    <w:rsid w:val="00C55010"/>
    <w:rsid w:val="00C5508D"/>
    <w:rsid w:val="00C5511E"/>
    <w:rsid w:val="00C5521C"/>
    <w:rsid w:val="00C552F0"/>
    <w:rsid w:val="00C5564A"/>
    <w:rsid w:val="00C55815"/>
    <w:rsid w:val="00C5599F"/>
    <w:rsid w:val="00C55D99"/>
    <w:rsid w:val="00C55EE9"/>
    <w:rsid w:val="00C55F59"/>
    <w:rsid w:val="00C56698"/>
    <w:rsid w:val="00C56C7A"/>
    <w:rsid w:val="00C56F3D"/>
    <w:rsid w:val="00C57018"/>
    <w:rsid w:val="00C5705E"/>
    <w:rsid w:val="00C571D9"/>
    <w:rsid w:val="00C5723B"/>
    <w:rsid w:val="00C5741B"/>
    <w:rsid w:val="00C576DA"/>
    <w:rsid w:val="00C57BC0"/>
    <w:rsid w:val="00C57D41"/>
    <w:rsid w:val="00C57E3D"/>
    <w:rsid w:val="00C60255"/>
    <w:rsid w:val="00C606A7"/>
    <w:rsid w:val="00C60F7D"/>
    <w:rsid w:val="00C61574"/>
    <w:rsid w:val="00C615C2"/>
    <w:rsid w:val="00C61CF6"/>
    <w:rsid w:val="00C62302"/>
    <w:rsid w:val="00C629A1"/>
    <w:rsid w:val="00C62E73"/>
    <w:rsid w:val="00C62FA6"/>
    <w:rsid w:val="00C62FD0"/>
    <w:rsid w:val="00C62FF5"/>
    <w:rsid w:val="00C632F1"/>
    <w:rsid w:val="00C63A74"/>
    <w:rsid w:val="00C63B00"/>
    <w:rsid w:val="00C63CAF"/>
    <w:rsid w:val="00C640F8"/>
    <w:rsid w:val="00C64398"/>
    <w:rsid w:val="00C64687"/>
    <w:rsid w:val="00C64985"/>
    <w:rsid w:val="00C6499B"/>
    <w:rsid w:val="00C64B56"/>
    <w:rsid w:val="00C65894"/>
    <w:rsid w:val="00C65C70"/>
    <w:rsid w:val="00C66553"/>
    <w:rsid w:val="00C66561"/>
    <w:rsid w:val="00C669CC"/>
    <w:rsid w:val="00C6708B"/>
    <w:rsid w:val="00C671FF"/>
    <w:rsid w:val="00C67270"/>
    <w:rsid w:val="00C67274"/>
    <w:rsid w:val="00C6754D"/>
    <w:rsid w:val="00C676DD"/>
    <w:rsid w:val="00C67B25"/>
    <w:rsid w:val="00C67C3B"/>
    <w:rsid w:val="00C70093"/>
    <w:rsid w:val="00C70A56"/>
    <w:rsid w:val="00C70A5B"/>
    <w:rsid w:val="00C70FF6"/>
    <w:rsid w:val="00C71E4B"/>
    <w:rsid w:val="00C7280C"/>
    <w:rsid w:val="00C72E07"/>
    <w:rsid w:val="00C731FF"/>
    <w:rsid w:val="00C73220"/>
    <w:rsid w:val="00C73421"/>
    <w:rsid w:val="00C73602"/>
    <w:rsid w:val="00C73842"/>
    <w:rsid w:val="00C73D05"/>
    <w:rsid w:val="00C73FE8"/>
    <w:rsid w:val="00C740C6"/>
    <w:rsid w:val="00C7414A"/>
    <w:rsid w:val="00C744C1"/>
    <w:rsid w:val="00C74746"/>
    <w:rsid w:val="00C75134"/>
    <w:rsid w:val="00C75188"/>
    <w:rsid w:val="00C7561B"/>
    <w:rsid w:val="00C75CC2"/>
    <w:rsid w:val="00C76197"/>
    <w:rsid w:val="00C762EC"/>
    <w:rsid w:val="00C763E1"/>
    <w:rsid w:val="00C763F6"/>
    <w:rsid w:val="00C76671"/>
    <w:rsid w:val="00C77A06"/>
    <w:rsid w:val="00C77DE1"/>
    <w:rsid w:val="00C8053A"/>
    <w:rsid w:val="00C812AB"/>
    <w:rsid w:val="00C81481"/>
    <w:rsid w:val="00C81560"/>
    <w:rsid w:val="00C819E5"/>
    <w:rsid w:val="00C81AF3"/>
    <w:rsid w:val="00C81EAC"/>
    <w:rsid w:val="00C82053"/>
    <w:rsid w:val="00C82107"/>
    <w:rsid w:val="00C8215E"/>
    <w:rsid w:val="00C82302"/>
    <w:rsid w:val="00C823E5"/>
    <w:rsid w:val="00C82449"/>
    <w:rsid w:val="00C82F06"/>
    <w:rsid w:val="00C82FB2"/>
    <w:rsid w:val="00C83171"/>
    <w:rsid w:val="00C831BF"/>
    <w:rsid w:val="00C831CB"/>
    <w:rsid w:val="00C8328F"/>
    <w:rsid w:val="00C83CA6"/>
    <w:rsid w:val="00C847AB"/>
    <w:rsid w:val="00C84BEC"/>
    <w:rsid w:val="00C84FF7"/>
    <w:rsid w:val="00C8539B"/>
    <w:rsid w:val="00C85594"/>
    <w:rsid w:val="00C85E12"/>
    <w:rsid w:val="00C86135"/>
    <w:rsid w:val="00C86285"/>
    <w:rsid w:val="00C86470"/>
    <w:rsid w:val="00C867E4"/>
    <w:rsid w:val="00C86C42"/>
    <w:rsid w:val="00C86CF2"/>
    <w:rsid w:val="00C86D5E"/>
    <w:rsid w:val="00C8701C"/>
    <w:rsid w:val="00C8727F"/>
    <w:rsid w:val="00C8789B"/>
    <w:rsid w:val="00C8790E"/>
    <w:rsid w:val="00C87D83"/>
    <w:rsid w:val="00C87FF4"/>
    <w:rsid w:val="00C902E4"/>
    <w:rsid w:val="00C90816"/>
    <w:rsid w:val="00C90C23"/>
    <w:rsid w:val="00C910A3"/>
    <w:rsid w:val="00C916AF"/>
    <w:rsid w:val="00C91E69"/>
    <w:rsid w:val="00C91EB6"/>
    <w:rsid w:val="00C91EE6"/>
    <w:rsid w:val="00C92097"/>
    <w:rsid w:val="00C926E0"/>
    <w:rsid w:val="00C92740"/>
    <w:rsid w:val="00C92C1D"/>
    <w:rsid w:val="00C930AE"/>
    <w:rsid w:val="00C9368A"/>
    <w:rsid w:val="00C938DC"/>
    <w:rsid w:val="00C93A32"/>
    <w:rsid w:val="00C93E98"/>
    <w:rsid w:val="00C942D2"/>
    <w:rsid w:val="00C942DB"/>
    <w:rsid w:val="00C94565"/>
    <w:rsid w:val="00C94B0E"/>
    <w:rsid w:val="00C94DC7"/>
    <w:rsid w:val="00C9542D"/>
    <w:rsid w:val="00C9572F"/>
    <w:rsid w:val="00C9577A"/>
    <w:rsid w:val="00C960B1"/>
    <w:rsid w:val="00C9616D"/>
    <w:rsid w:val="00C96CB9"/>
    <w:rsid w:val="00C974CB"/>
    <w:rsid w:val="00C977D5"/>
    <w:rsid w:val="00C978B8"/>
    <w:rsid w:val="00CA0014"/>
    <w:rsid w:val="00CA0117"/>
    <w:rsid w:val="00CA044B"/>
    <w:rsid w:val="00CA0723"/>
    <w:rsid w:val="00CA077A"/>
    <w:rsid w:val="00CA0B33"/>
    <w:rsid w:val="00CA0B48"/>
    <w:rsid w:val="00CA0C46"/>
    <w:rsid w:val="00CA0D69"/>
    <w:rsid w:val="00CA194D"/>
    <w:rsid w:val="00CA2957"/>
    <w:rsid w:val="00CA2CF0"/>
    <w:rsid w:val="00CA3003"/>
    <w:rsid w:val="00CA39E3"/>
    <w:rsid w:val="00CA448C"/>
    <w:rsid w:val="00CA49CA"/>
    <w:rsid w:val="00CA4EA3"/>
    <w:rsid w:val="00CA510C"/>
    <w:rsid w:val="00CA5117"/>
    <w:rsid w:val="00CA5373"/>
    <w:rsid w:val="00CA53CA"/>
    <w:rsid w:val="00CA5C57"/>
    <w:rsid w:val="00CA6014"/>
    <w:rsid w:val="00CA6C2F"/>
    <w:rsid w:val="00CA703C"/>
    <w:rsid w:val="00CA7446"/>
    <w:rsid w:val="00CA76CA"/>
    <w:rsid w:val="00CA7DA7"/>
    <w:rsid w:val="00CA7FCA"/>
    <w:rsid w:val="00CB0145"/>
    <w:rsid w:val="00CB069D"/>
    <w:rsid w:val="00CB1D1F"/>
    <w:rsid w:val="00CB1F0D"/>
    <w:rsid w:val="00CB2D43"/>
    <w:rsid w:val="00CB302B"/>
    <w:rsid w:val="00CB3336"/>
    <w:rsid w:val="00CB36CD"/>
    <w:rsid w:val="00CB372D"/>
    <w:rsid w:val="00CB373A"/>
    <w:rsid w:val="00CB38D7"/>
    <w:rsid w:val="00CB3B46"/>
    <w:rsid w:val="00CB418C"/>
    <w:rsid w:val="00CB44E9"/>
    <w:rsid w:val="00CB469F"/>
    <w:rsid w:val="00CB47E3"/>
    <w:rsid w:val="00CB510A"/>
    <w:rsid w:val="00CB53CB"/>
    <w:rsid w:val="00CB5D70"/>
    <w:rsid w:val="00CB5E33"/>
    <w:rsid w:val="00CB6074"/>
    <w:rsid w:val="00CB6268"/>
    <w:rsid w:val="00CB64B0"/>
    <w:rsid w:val="00CB650C"/>
    <w:rsid w:val="00CB6517"/>
    <w:rsid w:val="00CB6726"/>
    <w:rsid w:val="00CB6E10"/>
    <w:rsid w:val="00CB6E91"/>
    <w:rsid w:val="00CB71D2"/>
    <w:rsid w:val="00CB7956"/>
    <w:rsid w:val="00CC0122"/>
    <w:rsid w:val="00CC025B"/>
    <w:rsid w:val="00CC02A1"/>
    <w:rsid w:val="00CC03F2"/>
    <w:rsid w:val="00CC045A"/>
    <w:rsid w:val="00CC0847"/>
    <w:rsid w:val="00CC14D5"/>
    <w:rsid w:val="00CC1853"/>
    <w:rsid w:val="00CC1F5D"/>
    <w:rsid w:val="00CC209F"/>
    <w:rsid w:val="00CC2427"/>
    <w:rsid w:val="00CC2EE3"/>
    <w:rsid w:val="00CC3012"/>
    <w:rsid w:val="00CC32C5"/>
    <w:rsid w:val="00CC3430"/>
    <w:rsid w:val="00CC3A6E"/>
    <w:rsid w:val="00CC4010"/>
    <w:rsid w:val="00CC4DCB"/>
    <w:rsid w:val="00CC5101"/>
    <w:rsid w:val="00CC5115"/>
    <w:rsid w:val="00CC5242"/>
    <w:rsid w:val="00CC5B52"/>
    <w:rsid w:val="00CC6020"/>
    <w:rsid w:val="00CC6100"/>
    <w:rsid w:val="00CC6C9E"/>
    <w:rsid w:val="00CC6CDF"/>
    <w:rsid w:val="00CC6E88"/>
    <w:rsid w:val="00CC7797"/>
    <w:rsid w:val="00CC7DA6"/>
    <w:rsid w:val="00CC7DFB"/>
    <w:rsid w:val="00CC7EE1"/>
    <w:rsid w:val="00CC7FAF"/>
    <w:rsid w:val="00CD0287"/>
    <w:rsid w:val="00CD0511"/>
    <w:rsid w:val="00CD06BA"/>
    <w:rsid w:val="00CD0BB4"/>
    <w:rsid w:val="00CD0D29"/>
    <w:rsid w:val="00CD1303"/>
    <w:rsid w:val="00CD141C"/>
    <w:rsid w:val="00CD193C"/>
    <w:rsid w:val="00CD1BC9"/>
    <w:rsid w:val="00CD1C4E"/>
    <w:rsid w:val="00CD1F81"/>
    <w:rsid w:val="00CD24A2"/>
    <w:rsid w:val="00CD2862"/>
    <w:rsid w:val="00CD2E11"/>
    <w:rsid w:val="00CD2F25"/>
    <w:rsid w:val="00CD2FB8"/>
    <w:rsid w:val="00CD3096"/>
    <w:rsid w:val="00CD3330"/>
    <w:rsid w:val="00CD336A"/>
    <w:rsid w:val="00CD3502"/>
    <w:rsid w:val="00CD37EE"/>
    <w:rsid w:val="00CD4143"/>
    <w:rsid w:val="00CD4254"/>
    <w:rsid w:val="00CD444F"/>
    <w:rsid w:val="00CD45D8"/>
    <w:rsid w:val="00CD4ADC"/>
    <w:rsid w:val="00CD4F41"/>
    <w:rsid w:val="00CD552D"/>
    <w:rsid w:val="00CD5BF6"/>
    <w:rsid w:val="00CD5DF3"/>
    <w:rsid w:val="00CD7186"/>
    <w:rsid w:val="00CD7432"/>
    <w:rsid w:val="00CD7564"/>
    <w:rsid w:val="00CD7B1B"/>
    <w:rsid w:val="00CD7E45"/>
    <w:rsid w:val="00CE00D6"/>
    <w:rsid w:val="00CE0C1F"/>
    <w:rsid w:val="00CE1042"/>
    <w:rsid w:val="00CE13E1"/>
    <w:rsid w:val="00CE1715"/>
    <w:rsid w:val="00CE18CD"/>
    <w:rsid w:val="00CE2720"/>
    <w:rsid w:val="00CE33B4"/>
    <w:rsid w:val="00CE4D6F"/>
    <w:rsid w:val="00CE4FF8"/>
    <w:rsid w:val="00CE50A4"/>
    <w:rsid w:val="00CE549B"/>
    <w:rsid w:val="00CE5AF0"/>
    <w:rsid w:val="00CE5DFD"/>
    <w:rsid w:val="00CE6188"/>
    <w:rsid w:val="00CE618D"/>
    <w:rsid w:val="00CE64CD"/>
    <w:rsid w:val="00CE718E"/>
    <w:rsid w:val="00CE7530"/>
    <w:rsid w:val="00CE795F"/>
    <w:rsid w:val="00CE7E70"/>
    <w:rsid w:val="00CF073A"/>
    <w:rsid w:val="00CF0A96"/>
    <w:rsid w:val="00CF0CEF"/>
    <w:rsid w:val="00CF0F66"/>
    <w:rsid w:val="00CF1328"/>
    <w:rsid w:val="00CF184A"/>
    <w:rsid w:val="00CF1BA4"/>
    <w:rsid w:val="00CF1C12"/>
    <w:rsid w:val="00CF1CFB"/>
    <w:rsid w:val="00CF1D8C"/>
    <w:rsid w:val="00CF2884"/>
    <w:rsid w:val="00CF2BF7"/>
    <w:rsid w:val="00CF31A3"/>
    <w:rsid w:val="00CF3B29"/>
    <w:rsid w:val="00CF3C3A"/>
    <w:rsid w:val="00CF3E28"/>
    <w:rsid w:val="00CF3FEE"/>
    <w:rsid w:val="00CF403B"/>
    <w:rsid w:val="00CF4600"/>
    <w:rsid w:val="00CF4B28"/>
    <w:rsid w:val="00CF4CBA"/>
    <w:rsid w:val="00CF5102"/>
    <w:rsid w:val="00CF5C3F"/>
    <w:rsid w:val="00CF5D0E"/>
    <w:rsid w:val="00CF6957"/>
    <w:rsid w:val="00CF6BA5"/>
    <w:rsid w:val="00CF6C97"/>
    <w:rsid w:val="00CF6EC4"/>
    <w:rsid w:val="00CF6EED"/>
    <w:rsid w:val="00CF6F90"/>
    <w:rsid w:val="00CF714C"/>
    <w:rsid w:val="00CF79DB"/>
    <w:rsid w:val="00CF7AC1"/>
    <w:rsid w:val="00CF7B7E"/>
    <w:rsid w:val="00CF7BB8"/>
    <w:rsid w:val="00D0025E"/>
    <w:rsid w:val="00D00295"/>
    <w:rsid w:val="00D00572"/>
    <w:rsid w:val="00D00917"/>
    <w:rsid w:val="00D00F3B"/>
    <w:rsid w:val="00D01575"/>
    <w:rsid w:val="00D028B4"/>
    <w:rsid w:val="00D029C1"/>
    <w:rsid w:val="00D038E0"/>
    <w:rsid w:val="00D03AA5"/>
    <w:rsid w:val="00D03B9D"/>
    <w:rsid w:val="00D03C64"/>
    <w:rsid w:val="00D03FC5"/>
    <w:rsid w:val="00D04250"/>
    <w:rsid w:val="00D0444B"/>
    <w:rsid w:val="00D04681"/>
    <w:rsid w:val="00D04803"/>
    <w:rsid w:val="00D04DEC"/>
    <w:rsid w:val="00D0505D"/>
    <w:rsid w:val="00D0534E"/>
    <w:rsid w:val="00D05E6D"/>
    <w:rsid w:val="00D062CB"/>
    <w:rsid w:val="00D06A83"/>
    <w:rsid w:val="00D07690"/>
    <w:rsid w:val="00D10565"/>
    <w:rsid w:val="00D10A5E"/>
    <w:rsid w:val="00D11024"/>
    <w:rsid w:val="00D110E5"/>
    <w:rsid w:val="00D11463"/>
    <w:rsid w:val="00D11B6F"/>
    <w:rsid w:val="00D11D71"/>
    <w:rsid w:val="00D12435"/>
    <w:rsid w:val="00D12C3A"/>
    <w:rsid w:val="00D12F6B"/>
    <w:rsid w:val="00D13087"/>
    <w:rsid w:val="00D1325B"/>
    <w:rsid w:val="00D14569"/>
    <w:rsid w:val="00D1467A"/>
    <w:rsid w:val="00D14C86"/>
    <w:rsid w:val="00D14F9E"/>
    <w:rsid w:val="00D15007"/>
    <w:rsid w:val="00D15568"/>
    <w:rsid w:val="00D1583A"/>
    <w:rsid w:val="00D15F63"/>
    <w:rsid w:val="00D160B3"/>
    <w:rsid w:val="00D1657D"/>
    <w:rsid w:val="00D1662B"/>
    <w:rsid w:val="00D1686B"/>
    <w:rsid w:val="00D16B38"/>
    <w:rsid w:val="00D16E61"/>
    <w:rsid w:val="00D16FA3"/>
    <w:rsid w:val="00D17284"/>
    <w:rsid w:val="00D17655"/>
    <w:rsid w:val="00D179CE"/>
    <w:rsid w:val="00D207C3"/>
    <w:rsid w:val="00D20B77"/>
    <w:rsid w:val="00D20D3D"/>
    <w:rsid w:val="00D216AB"/>
    <w:rsid w:val="00D21758"/>
    <w:rsid w:val="00D21ACC"/>
    <w:rsid w:val="00D229FF"/>
    <w:rsid w:val="00D23041"/>
    <w:rsid w:val="00D230FA"/>
    <w:rsid w:val="00D23745"/>
    <w:rsid w:val="00D239F7"/>
    <w:rsid w:val="00D23BE3"/>
    <w:rsid w:val="00D24143"/>
    <w:rsid w:val="00D242EF"/>
    <w:rsid w:val="00D244A7"/>
    <w:rsid w:val="00D2475A"/>
    <w:rsid w:val="00D24A65"/>
    <w:rsid w:val="00D25106"/>
    <w:rsid w:val="00D25896"/>
    <w:rsid w:val="00D258A7"/>
    <w:rsid w:val="00D25AE4"/>
    <w:rsid w:val="00D25C16"/>
    <w:rsid w:val="00D25D82"/>
    <w:rsid w:val="00D25EFC"/>
    <w:rsid w:val="00D2648D"/>
    <w:rsid w:val="00D2669C"/>
    <w:rsid w:val="00D266CF"/>
    <w:rsid w:val="00D26885"/>
    <w:rsid w:val="00D26C26"/>
    <w:rsid w:val="00D272F3"/>
    <w:rsid w:val="00D2791A"/>
    <w:rsid w:val="00D279C0"/>
    <w:rsid w:val="00D3012F"/>
    <w:rsid w:val="00D303C0"/>
    <w:rsid w:val="00D30908"/>
    <w:rsid w:val="00D309A4"/>
    <w:rsid w:val="00D3134E"/>
    <w:rsid w:val="00D31562"/>
    <w:rsid w:val="00D31750"/>
    <w:rsid w:val="00D3176B"/>
    <w:rsid w:val="00D31A62"/>
    <w:rsid w:val="00D32582"/>
    <w:rsid w:val="00D3282D"/>
    <w:rsid w:val="00D329A2"/>
    <w:rsid w:val="00D329E5"/>
    <w:rsid w:val="00D32D38"/>
    <w:rsid w:val="00D32D77"/>
    <w:rsid w:val="00D330A5"/>
    <w:rsid w:val="00D33310"/>
    <w:rsid w:val="00D33640"/>
    <w:rsid w:val="00D336C2"/>
    <w:rsid w:val="00D33F02"/>
    <w:rsid w:val="00D346C6"/>
    <w:rsid w:val="00D34716"/>
    <w:rsid w:val="00D34F83"/>
    <w:rsid w:val="00D35D52"/>
    <w:rsid w:val="00D3664A"/>
    <w:rsid w:val="00D36868"/>
    <w:rsid w:val="00D36A4F"/>
    <w:rsid w:val="00D373A7"/>
    <w:rsid w:val="00D3744B"/>
    <w:rsid w:val="00D376B7"/>
    <w:rsid w:val="00D3789C"/>
    <w:rsid w:val="00D37AC2"/>
    <w:rsid w:val="00D37CD7"/>
    <w:rsid w:val="00D37E82"/>
    <w:rsid w:val="00D4036D"/>
    <w:rsid w:val="00D405CA"/>
    <w:rsid w:val="00D409B0"/>
    <w:rsid w:val="00D40E4D"/>
    <w:rsid w:val="00D41A40"/>
    <w:rsid w:val="00D41EE6"/>
    <w:rsid w:val="00D4241E"/>
    <w:rsid w:val="00D425F5"/>
    <w:rsid w:val="00D42D4C"/>
    <w:rsid w:val="00D431E9"/>
    <w:rsid w:val="00D43413"/>
    <w:rsid w:val="00D436A6"/>
    <w:rsid w:val="00D44158"/>
    <w:rsid w:val="00D447DB"/>
    <w:rsid w:val="00D44931"/>
    <w:rsid w:val="00D44C33"/>
    <w:rsid w:val="00D44F19"/>
    <w:rsid w:val="00D453C7"/>
    <w:rsid w:val="00D4589F"/>
    <w:rsid w:val="00D46153"/>
    <w:rsid w:val="00D465B1"/>
    <w:rsid w:val="00D468BF"/>
    <w:rsid w:val="00D46F6B"/>
    <w:rsid w:val="00D470A1"/>
    <w:rsid w:val="00D4720B"/>
    <w:rsid w:val="00D50DC9"/>
    <w:rsid w:val="00D5154C"/>
    <w:rsid w:val="00D51826"/>
    <w:rsid w:val="00D51B19"/>
    <w:rsid w:val="00D51EEB"/>
    <w:rsid w:val="00D51FAD"/>
    <w:rsid w:val="00D523A9"/>
    <w:rsid w:val="00D524CE"/>
    <w:rsid w:val="00D52540"/>
    <w:rsid w:val="00D52806"/>
    <w:rsid w:val="00D52A2C"/>
    <w:rsid w:val="00D52C22"/>
    <w:rsid w:val="00D52D53"/>
    <w:rsid w:val="00D53008"/>
    <w:rsid w:val="00D5314B"/>
    <w:rsid w:val="00D53995"/>
    <w:rsid w:val="00D53B3D"/>
    <w:rsid w:val="00D54565"/>
    <w:rsid w:val="00D547C8"/>
    <w:rsid w:val="00D547FA"/>
    <w:rsid w:val="00D54E67"/>
    <w:rsid w:val="00D5509C"/>
    <w:rsid w:val="00D5517D"/>
    <w:rsid w:val="00D55217"/>
    <w:rsid w:val="00D55694"/>
    <w:rsid w:val="00D5578F"/>
    <w:rsid w:val="00D55B8E"/>
    <w:rsid w:val="00D55DF3"/>
    <w:rsid w:val="00D5619B"/>
    <w:rsid w:val="00D566DB"/>
    <w:rsid w:val="00D56748"/>
    <w:rsid w:val="00D56AAF"/>
    <w:rsid w:val="00D57904"/>
    <w:rsid w:val="00D60865"/>
    <w:rsid w:val="00D60E44"/>
    <w:rsid w:val="00D60F3E"/>
    <w:rsid w:val="00D6158B"/>
    <w:rsid w:val="00D6184F"/>
    <w:rsid w:val="00D61A81"/>
    <w:rsid w:val="00D6292C"/>
    <w:rsid w:val="00D629E5"/>
    <w:rsid w:val="00D640DA"/>
    <w:rsid w:val="00D6453A"/>
    <w:rsid w:val="00D64F68"/>
    <w:rsid w:val="00D658B9"/>
    <w:rsid w:val="00D66263"/>
    <w:rsid w:val="00D6630B"/>
    <w:rsid w:val="00D66797"/>
    <w:rsid w:val="00D66AD4"/>
    <w:rsid w:val="00D67222"/>
    <w:rsid w:val="00D67267"/>
    <w:rsid w:val="00D67A9D"/>
    <w:rsid w:val="00D70287"/>
    <w:rsid w:val="00D70CE9"/>
    <w:rsid w:val="00D70DA9"/>
    <w:rsid w:val="00D71133"/>
    <w:rsid w:val="00D712C4"/>
    <w:rsid w:val="00D715ED"/>
    <w:rsid w:val="00D719E9"/>
    <w:rsid w:val="00D71B04"/>
    <w:rsid w:val="00D71C01"/>
    <w:rsid w:val="00D720C2"/>
    <w:rsid w:val="00D7274F"/>
    <w:rsid w:val="00D739C8"/>
    <w:rsid w:val="00D73D13"/>
    <w:rsid w:val="00D74103"/>
    <w:rsid w:val="00D74201"/>
    <w:rsid w:val="00D74267"/>
    <w:rsid w:val="00D74EAF"/>
    <w:rsid w:val="00D7544D"/>
    <w:rsid w:val="00D7554D"/>
    <w:rsid w:val="00D75926"/>
    <w:rsid w:val="00D75A25"/>
    <w:rsid w:val="00D75FD4"/>
    <w:rsid w:val="00D76486"/>
    <w:rsid w:val="00D76671"/>
    <w:rsid w:val="00D76C6B"/>
    <w:rsid w:val="00D76DA7"/>
    <w:rsid w:val="00D77776"/>
    <w:rsid w:val="00D80881"/>
    <w:rsid w:val="00D80AFA"/>
    <w:rsid w:val="00D81D3A"/>
    <w:rsid w:val="00D81EB2"/>
    <w:rsid w:val="00D82209"/>
    <w:rsid w:val="00D8222D"/>
    <w:rsid w:val="00D8273B"/>
    <w:rsid w:val="00D82E5D"/>
    <w:rsid w:val="00D83AD2"/>
    <w:rsid w:val="00D83F9B"/>
    <w:rsid w:val="00D84200"/>
    <w:rsid w:val="00D84900"/>
    <w:rsid w:val="00D84976"/>
    <w:rsid w:val="00D84983"/>
    <w:rsid w:val="00D84A60"/>
    <w:rsid w:val="00D85618"/>
    <w:rsid w:val="00D85E76"/>
    <w:rsid w:val="00D861AE"/>
    <w:rsid w:val="00D8662E"/>
    <w:rsid w:val="00D867E5"/>
    <w:rsid w:val="00D86CFF"/>
    <w:rsid w:val="00D86F22"/>
    <w:rsid w:val="00D87EBB"/>
    <w:rsid w:val="00D90016"/>
    <w:rsid w:val="00D90073"/>
    <w:rsid w:val="00D901A8"/>
    <w:rsid w:val="00D903C6"/>
    <w:rsid w:val="00D90597"/>
    <w:rsid w:val="00D90CF5"/>
    <w:rsid w:val="00D92012"/>
    <w:rsid w:val="00D92051"/>
    <w:rsid w:val="00D920B4"/>
    <w:rsid w:val="00D923DF"/>
    <w:rsid w:val="00D924BD"/>
    <w:rsid w:val="00D92989"/>
    <w:rsid w:val="00D92D2B"/>
    <w:rsid w:val="00D93299"/>
    <w:rsid w:val="00D9352E"/>
    <w:rsid w:val="00D93A83"/>
    <w:rsid w:val="00D93B66"/>
    <w:rsid w:val="00D94541"/>
    <w:rsid w:val="00D94BEF"/>
    <w:rsid w:val="00D955AC"/>
    <w:rsid w:val="00D959C4"/>
    <w:rsid w:val="00D95AAE"/>
    <w:rsid w:val="00D96577"/>
    <w:rsid w:val="00D96915"/>
    <w:rsid w:val="00D972B8"/>
    <w:rsid w:val="00D97BE1"/>
    <w:rsid w:val="00DA0038"/>
    <w:rsid w:val="00DA015F"/>
    <w:rsid w:val="00DA0554"/>
    <w:rsid w:val="00DA05C8"/>
    <w:rsid w:val="00DA0D66"/>
    <w:rsid w:val="00DA0DB5"/>
    <w:rsid w:val="00DA0F79"/>
    <w:rsid w:val="00DA1244"/>
    <w:rsid w:val="00DA18B3"/>
    <w:rsid w:val="00DA18C5"/>
    <w:rsid w:val="00DA1938"/>
    <w:rsid w:val="00DA1C57"/>
    <w:rsid w:val="00DA1E0A"/>
    <w:rsid w:val="00DA261B"/>
    <w:rsid w:val="00DA2759"/>
    <w:rsid w:val="00DA2F95"/>
    <w:rsid w:val="00DA3983"/>
    <w:rsid w:val="00DA3B1F"/>
    <w:rsid w:val="00DA3F0B"/>
    <w:rsid w:val="00DA4101"/>
    <w:rsid w:val="00DA4214"/>
    <w:rsid w:val="00DA427A"/>
    <w:rsid w:val="00DA4768"/>
    <w:rsid w:val="00DA48A2"/>
    <w:rsid w:val="00DA4E15"/>
    <w:rsid w:val="00DA50A8"/>
    <w:rsid w:val="00DA5910"/>
    <w:rsid w:val="00DA5D39"/>
    <w:rsid w:val="00DA5EE1"/>
    <w:rsid w:val="00DA6504"/>
    <w:rsid w:val="00DA6596"/>
    <w:rsid w:val="00DA6884"/>
    <w:rsid w:val="00DA68D6"/>
    <w:rsid w:val="00DA6C51"/>
    <w:rsid w:val="00DA766C"/>
    <w:rsid w:val="00DB1084"/>
    <w:rsid w:val="00DB1A49"/>
    <w:rsid w:val="00DB1ABD"/>
    <w:rsid w:val="00DB1FA3"/>
    <w:rsid w:val="00DB2172"/>
    <w:rsid w:val="00DB2469"/>
    <w:rsid w:val="00DB28BB"/>
    <w:rsid w:val="00DB355B"/>
    <w:rsid w:val="00DB374D"/>
    <w:rsid w:val="00DB37C9"/>
    <w:rsid w:val="00DB3AEA"/>
    <w:rsid w:val="00DB4956"/>
    <w:rsid w:val="00DB4B90"/>
    <w:rsid w:val="00DB502F"/>
    <w:rsid w:val="00DB58B8"/>
    <w:rsid w:val="00DB5A3D"/>
    <w:rsid w:val="00DB62D4"/>
    <w:rsid w:val="00DB6DE0"/>
    <w:rsid w:val="00DB6E02"/>
    <w:rsid w:val="00DB6FAA"/>
    <w:rsid w:val="00DB7087"/>
    <w:rsid w:val="00DB70A5"/>
    <w:rsid w:val="00DB7128"/>
    <w:rsid w:val="00DB7701"/>
    <w:rsid w:val="00DC03B5"/>
    <w:rsid w:val="00DC09F2"/>
    <w:rsid w:val="00DC0C58"/>
    <w:rsid w:val="00DC1488"/>
    <w:rsid w:val="00DC192E"/>
    <w:rsid w:val="00DC1C22"/>
    <w:rsid w:val="00DC2056"/>
    <w:rsid w:val="00DC2862"/>
    <w:rsid w:val="00DC3252"/>
    <w:rsid w:val="00DC37A0"/>
    <w:rsid w:val="00DC3807"/>
    <w:rsid w:val="00DC3872"/>
    <w:rsid w:val="00DC3949"/>
    <w:rsid w:val="00DC403F"/>
    <w:rsid w:val="00DC406B"/>
    <w:rsid w:val="00DC415F"/>
    <w:rsid w:val="00DC4217"/>
    <w:rsid w:val="00DC4436"/>
    <w:rsid w:val="00DC48D6"/>
    <w:rsid w:val="00DC4C5E"/>
    <w:rsid w:val="00DC4CA5"/>
    <w:rsid w:val="00DC4E2D"/>
    <w:rsid w:val="00DC4E75"/>
    <w:rsid w:val="00DC5226"/>
    <w:rsid w:val="00DC575C"/>
    <w:rsid w:val="00DC576E"/>
    <w:rsid w:val="00DC586C"/>
    <w:rsid w:val="00DC5945"/>
    <w:rsid w:val="00DC5AE6"/>
    <w:rsid w:val="00DC5E18"/>
    <w:rsid w:val="00DC611D"/>
    <w:rsid w:val="00DC6451"/>
    <w:rsid w:val="00DC654C"/>
    <w:rsid w:val="00DC6594"/>
    <w:rsid w:val="00DC67D6"/>
    <w:rsid w:val="00DC7351"/>
    <w:rsid w:val="00DC73A0"/>
    <w:rsid w:val="00DC74C6"/>
    <w:rsid w:val="00DC7514"/>
    <w:rsid w:val="00DC7ACC"/>
    <w:rsid w:val="00DC7BA4"/>
    <w:rsid w:val="00DC7E42"/>
    <w:rsid w:val="00DD0842"/>
    <w:rsid w:val="00DD0881"/>
    <w:rsid w:val="00DD0CC2"/>
    <w:rsid w:val="00DD126D"/>
    <w:rsid w:val="00DD1416"/>
    <w:rsid w:val="00DD17BC"/>
    <w:rsid w:val="00DD185A"/>
    <w:rsid w:val="00DD1AD4"/>
    <w:rsid w:val="00DD1B1E"/>
    <w:rsid w:val="00DD1CEE"/>
    <w:rsid w:val="00DD1E30"/>
    <w:rsid w:val="00DD1E92"/>
    <w:rsid w:val="00DD20E7"/>
    <w:rsid w:val="00DD216F"/>
    <w:rsid w:val="00DD219A"/>
    <w:rsid w:val="00DD25A4"/>
    <w:rsid w:val="00DD2632"/>
    <w:rsid w:val="00DD2AAE"/>
    <w:rsid w:val="00DD2F1F"/>
    <w:rsid w:val="00DD3093"/>
    <w:rsid w:val="00DD3382"/>
    <w:rsid w:val="00DD371E"/>
    <w:rsid w:val="00DD4190"/>
    <w:rsid w:val="00DD47D9"/>
    <w:rsid w:val="00DD494E"/>
    <w:rsid w:val="00DD4E88"/>
    <w:rsid w:val="00DD52F4"/>
    <w:rsid w:val="00DD6213"/>
    <w:rsid w:val="00DD65B0"/>
    <w:rsid w:val="00DD6A32"/>
    <w:rsid w:val="00DD6C59"/>
    <w:rsid w:val="00DD743B"/>
    <w:rsid w:val="00DD7821"/>
    <w:rsid w:val="00DD791A"/>
    <w:rsid w:val="00DD7F09"/>
    <w:rsid w:val="00DE0304"/>
    <w:rsid w:val="00DE0720"/>
    <w:rsid w:val="00DE08B1"/>
    <w:rsid w:val="00DE0F0A"/>
    <w:rsid w:val="00DE1697"/>
    <w:rsid w:val="00DE1792"/>
    <w:rsid w:val="00DE1C18"/>
    <w:rsid w:val="00DE1FEF"/>
    <w:rsid w:val="00DE214B"/>
    <w:rsid w:val="00DE23AC"/>
    <w:rsid w:val="00DE2A48"/>
    <w:rsid w:val="00DE316E"/>
    <w:rsid w:val="00DE31A1"/>
    <w:rsid w:val="00DE35D0"/>
    <w:rsid w:val="00DE3726"/>
    <w:rsid w:val="00DE3838"/>
    <w:rsid w:val="00DE397F"/>
    <w:rsid w:val="00DE4FC1"/>
    <w:rsid w:val="00DE536F"/>
    <w:rsid w:val="00DE5AD9"/>
    <w:rsid w:val="00DE5F1B"/>
    <w:rsid w:val="00DE600B"/>
    <w:rsid w:val="00DE6184"/>
    <w:rsid w:val="00DE65FA"/>
    <w:rsid w:val="00DE67B6"/>
    <w:rsid w:val="00DE6D05"/>
    <w:rsid w:val="00DE74E7"/>
    <w:rsid w:val="00DF0C55"/>
    <w:rsid w:val="00DF1399"/>
    <w:rsid w:val="00DF19C5"/>
    <w:rsid w:val="00DF1C7B"/>
    <w:rsid w:val="00DF3C81"/>
    <w:rsid w:val="00DF44EE"/>
    <w:rsid w:val="00DF4F6D"/>
    <w:rsid w:val="00DF5749"/>
    <w:rsid w:val="00DF59B8"/>
    <w:rsid w:val="00DF5E38"/>
    <w:rsid w:val="00DF615B"/>
    <w:rsid w:val="00DF670B"/>
    <w:rsid w:val="00DF675C"/>
    <w:rsid w:val="00DF69D7"/>
    <w:rsid w:val="00DF6B33"/>
    <w:rsid w:val="00DF7392"/>
    <w:rsid w:val="00DF75BD"/>
    <w:rsid w:val="00DF7A38"/>
    <w:rsid w:val="00DF7E54"/>
    <w:rsid w:val="00DF7EB9"/>
    <w:rsid w:val="00E0073B"/>
    <w:rsid w:val="00E007CE"/>
    <w:rsid w:val="00E00E76"/>
    <w:rsid w:val="00E0106A"/>
    <w:rsid w:val="00E017B4"/>
    <w:rsid w:val="00E01FEC"/>
    <w:rsid w:val="00E020DE"/>
    <w:rsid w:val="00E023F6"/>
    <w:rsid w:val="00E02B31"/>
    <w:rsid w:val="00E02BD5"/>
    <w:rsid w:val="00E02C42"/>
    <w:rsid w:val="00E03647"/>
    <w:rsid w:val="00E0383F"/>
    <w:rsid w:val="00E03925"/>
    <w:rsid w:val="00E03C15"/>
    <w:rsid w:val="00E042E1"/>
    <w:rsid w:val="00E0431D"/>
    <w:rsid w:val="00E05585"/>
    <w:rsid w:val="00E05EB0"/>
    <w:rsid w:val="00E05EFA"/>
    <w:rsid w:val="00E0617A"/>
    <w:rsid w:val="00E0623F"/>
    <w:rsid w:val="00E066F0"/>
    <w:rsid w:val="00E07420"/>
    <w:rsid w:val="00E076AB"/>
    <w:rsid w:val="00E10827"/>
    <w:rsid w:val="00E10B0F"/>
    <w:rsid w:val="00E10C0E"/>
    <w:rsid w:val="00E110E3"/>
    <w:rsid w:val="00E116FD"/>
    <w:rsid w:val="00E124EB"/>
    <w:rsid w:val="00E129B9"/>
    <w:rsid w:val="00E12D0A"/>
    <w:rsid w:val="00E12D94"/>
    <w:rsid w:val="00E12F82"/>
    <w:rsid w:val="00E13466"/>
    <w:rsid w:val="00E13501"/>
    <w:rsid w:val="00E13BB4"/>
    <w:rsid w:val="00E13DAC"/>
    <w:rsid w:val="00E1408C"/>
    <w:rsid w:val="00E1409D"/>
    <w:rsid w:val="00E14698"/>
    <w:rsid w:val="00E14866"/>
    <w:rsid w:val="00E151C5"/>
    <w:rsid w:val="00E154E1"/>
    <w:rsid w:val="00E1589D"/>
    <w:rsid w:val="00E1609B"/>
    <w:rsid w:val="00E1650C"/>
    <w:rsid w:val="00E16E35"/>
    <w:rsid w:val="00E1743F"/>
    <w:rsid w:val="00E17508"/>
    <w:rsid w:val="00E175D3"/>
    <w:rsid w:val="00E177DA"/>
    <w:rsid w:val="00E2038C"/>
    <w:rsid w:val="00E20535"/>
    <w:rsid w:val="00E2087B"/>
    <w:rsid w:val="00E20B12"/>
    <w:rsid w:val="00E219B3"/>
    <w:rsid w:val="00E2244A"/>
    <w:rsid w:val="00E2262C"/>
    <w:rsid w:val="00E228C1"/>
    <w:rsid w:val="00E22ECC"/>
    <w:rsid w:val="00E23288"/>
    <w:rsid w:val="00E237A4"/>
    <w:rsid w:val="00E23A4F"/>
    <w:rsid w:val="00E23A5A"/>
    <w:rsid w:val="00E23BAE"/>
    <w:rsid w:val="00E23D62"/>
    <w:rsid w:val="00E24E6C"/>
    <w:rsid w:val="00E2509D"/>
    <w:rsid w:val="00E258E5"/>
    <w:rsid w:val="00E25E47"/>
    <w:rsid w:val="00E261DE"/>
    <w:rsid w:val="00E26307"/>
    <w:rsid w:val="00E26E58"/>
    <w:rsid w:val="00E27C45"/>
    <w:rsid w:val="00E3008E"/>
    <w:rsid w:val="00E30576"/>
    <w:rsid w:val="00E30660"/>
    <w:rsid w:val="00E30E13"/>
    <w:rsid w:val="00E3123C"/>
    <w:rsid w:val="00E31E38"/>
    <w:rsid w:val="00E31FC5"/>
    <w:rsid w:val="00E3250C"/>
    <w:rsid w:val="00E32600"/>
    <w:rsid w:val="00E32873"/>
    <w:rsid w:val="00E32D8A"/>
    <w:rsid w:val="00E33615"/>
    <w:rsid w:val="00E337B3"/>
    <w:rsid w:val="00E33967"/>
    <w:rsid w:val="00E339AC"/>
    <w:rsid w:val="00E33AAA"/>
    <w:rsid w:val="00E33BD8"/>
    <w:rsid w:val="00E33C27"/>
    <w:rsid w:val="00E33E78"/>
    <w:rsid w:val="00E33F1F"/>
    <w:rsid w:val="00E33FEC"/>
    <w:rsid w:val="00E34171"/>
    <w:rsid w:val="00E3441D"/>
    <w:rsid w:val="00E34903"/>
    <w:rsid w:val="00E34B0F"/>
    <w:rsid w:val="00E35858"/>
    <w:rsid w:val="00E35E63"/>
    <w:rsid w:val="00E365A1"/>
    <w:rsid w:val="00E36670"/>
    <w:rsid w:val="00E36BCA"/>
    <w:rsid w:val="00E36E32"/>
    <w:rsid w:val="00E372F8"/>
    <w:rsid w:val="00E37414"/>
    <w:rsid w:val="00E374CD"/>
    <w:rsid w:val="00E374D9"/>
    <w:rsid w:val="00E37B57"/>
    <w:rsid w:val="00E37BAF"/>
    <w:rsid w:val="00E4002E"/>
    <w:rsid w:val="00E40404"/>
    <w:rsid w:val="00E40926"/>
    <w:rsid w:val="00E40C01"/>
    <w:rsid w:val="00E40F13"/>
    <w:rsid w:val="00E41272"/>
    <w:rsid w:val="00E41718"/>
    <w:rsid w:val="00E41D66"/>
    <w:rsid w:val="00E41ECB"/>
    <w:rsid w:val="00E42068"/>
    <w:rsid w:val="00E4213C"/>
    <w:rsid w:val="00E42291"/>
    <w:rsid w:val="00E4267C"/>
    <w:rsid w:val="00E42A78"/>
    <w:rsid w:val="00E43542"/>
    <w:rsid w:val="00E43B48"/>
    <w:rsid w:val="00E43D74"/>
    <w:rsid w:val="00E44B32"/>
    <w:rsid w:val="00E44CF7"/>
    <w:rsid w:val="00E44D44"/>
    <w:rsid w:val="00E44DF3"/>
    <w:rsid w:val="00E45353"/>
    <w:rsid w:val="00E4564E"/>
    <w:rsid w:val="00E45A9B"/>
    <w:rsid w:val="00E45B70"/>
    <w:rsid w:val="00E45D21"/>
    <w:rsid w:val="00E468D6"/>
    <w:rsid w:val="00E46F4E"/>
    <w:rsid w:val="00E474AA"/>
    <w:rsid w:val="00E4785B"/>
    <w:rsid w:val="00E47966"/>
    <w:rsid w:val="00E504B1"/>
    <w:rsid w:val="00E5055C"/>
    <w:rsid w:val="00E5129B"/>
    <w:rsid w:val="00E514CC"/>
    <w:rsid w:val="00E51926"/>
    <w:rsid w:val="00E51955"/>
    <w:rsid w:val="00E51F50"/>
    <w:rsid w:val="00E52036"/>
    <w:rsid w:val="00E52440"/>
    <w:rsid w:val="00E52931"/>
    <w:rsid w:val="00E52A4F"/>
    <w:rsid w:val="00E53205"/>
    <w:rsid w:val="00E5324B"/>
    <w:rsid w:val="00E53CB3"/>
    <w:rsid w:val="00E544F4"/>
    <w:rsid w:val="00E5466A"/>
    <w:rsid w:val="00E55846"/>
    <w:rsid w:val="00E55A50"/>
    <w:rsid w:val="00E560FF"/>
    <w:rsid w:val="00E56BF8"/>
    <w:rsid w:val="00E56C61"/>
    <w:rsid w:val="00E573D9"/>
    <w:rsid w:val="00E578A5"/>
    <w:rsid w:val="00E57D27"/>
    <w:rsid w:val="00E609CD"/>
    <w:rsid w:val="00E60DA3"/>
    <w:rsid w:val="00E60E80"/>
    <w:rsid w:val="00E60EF3"/>
    <w:rsid w:val="00E612BF"/>
    <w:rsid w:val="00E61381"/>
    <w:rsid w:val="00E61488"/>
    <w:rsid w:val="00E614BA"/>
    <w:rsid w:val="00E6185A"/>
    <w:rsid w:val="00E61B8F"/>
    <w:rsid w:val="00E62400"/>
    <w:rsid w:val="00E625BD"/>
    <w:rsid w:val="00E62733"/>
    <w:rsid w:val="00E62BB3"/>
    <w:rsid w:val="00E62F0A"/>
    <w:rsid w:val="00E632C7"/>
    <w:rsid w:val="00E63707"/>
    <w:rsid w:val="00E63AC3"/>
    <w:rsid w:val="00E63AFD"/>
    <w:rsid w:val="00E63F37"/>
    <w:rsid w:val="00E64C8A"/>
    <w:rsid w:val="00E65E2A"/>
    <w:rsid w:val="00E65FD9"/>
    <w:rsid w:val="00E663B9"/>
    <w:rsid w:val="00E6657C"/>
    <w:rsid w:val="00E66C53"/>
    <w:rsid w:val="00E6714B"/>
    <w:rsid w:val="00E672F2"/>
    <w:rsid w:val="00E67599"/>
    <w:rsid w:val="00E67EA0"/>
    <w:rsid w:val="00E701D9"/>
    <w:rsid w:val="00E705C4"/>
    <w:rsid w:val="00E70732"/>
    <w:rsid w:val="00E7090C"/>
    <w:rsid w:val="00E7093B"/>
    <w:rsid w:val="00E70C96"/>
    <w:rsid w:val="00E70CC6"/>
    <w:rsid w:val="00E70E0F"/>
    <w:rsid w:val="00E70E6B"/>
    <w:rsid w:val="00E70F00"/>
    <w:rsid w:val="00E713DD"/>
    <w:rsid w:val="00E71443"/>
    <w:rsid w:val="00E715FB"/>
    <w:rsid w:val="00E71F27"/>
    <w:rsid w:val="00E722EA"/>
    <w:rsid w:val="00E72B60"/>
    <w:rsid w:val="00E72DAF"/>
    <w:rsid w:val="00E72F39"/>
    <w:rsid w:val="00E733D4"/>
    <w:rsid w:val="00E739DE"/>
    <w:rsid w:val="00E73C53"/>
    <w:rsid w:val="00E741C1"/>
    <w:rsid w:val="00E7464F"/>
    <w:rsid w:val="00E74B4F"/>
    <w:rsid w:val="00E74C75"/>
    <w:rsid w:val="00E7505D"/>
    <w:rsid w:val="00E756C7"/>
    <w:rsid w:val="00E75E21"/>
    <w:rsid w:val="00E76836"/>
    <w:rsid w:val="00E76A05"/>
    <w:rsid w:val="00E76AB1"/>
    <w:rsid w:val="00E77307"/>
    <w:rsid w:val="00E77848"/>
    <w:rsid w:val="00E77F3F"/>
    <w:rsid w:val="00E8017F"/>
    <w:rsid w:val="00E8046F"/>
    <w:rsid w:val="00E806A8"/>
    <w:rsid w:val="00E80820"/>
    <w:rsid w:val="00E80A47"/>
    <w:rsid w:val="00E80F60"/>
    <w:rsid w:val="00E818FD"/>
    <w:rsid w:val="00E819B7"/>
    <w:rsid w:val="00E819C4"/>
    <w:rsid w:val="00E821AB"/>
    <w:rsid w:val="00E82328"/>
    <w:rsid w:val="00E829BF"/>
    <w:rsid w:val="00E82F38"/>
    <w:rsid w:val="00E832DA"/>
    <w:rsid w:val="00E83573"/>
    <w:rsid w:val="00E835A6"/>
    <w:rsid w:val="00E83914"/>
    <w:rsid w:val="00E83CBF"/>
    <w:rsid w:val="00E83FC2"/>
    <w:rsid w:val="00E843A9"/>
    <w:rsid w:val="00E84518"/>
    <w:rsid w:val="00E84666"/>
    <w:rsid w:val="00E846DE"/>
    <w:rsid w:val="00E84CC6"/>
    <w:rsid w:val="00E84D73"/>
    <w:rsid w:val="00E84E28"/>
    <w:rsid w:val="00E85EFC"/>
    <w:rsid w:val="00E86396"/>
    <w:rsid w:val="00E8675E"/>
    <w:rsid w:val="00E86B90"/>
    <w:rsid w:val="00E873AB"/>
    <w:rsid w:val="00E90288"/>
    <w:rsid w:val="00E904D2"/>
    <w:rsid w:val="00E9058B"/>
    <w:rsid w:val="00E9065B"/>
    <w:rsid w:val="00E906C8"/>
    <w:rsid w:val="00E90CB1"/>
    <w:rsid w:val="00E90FD0"/>
    <w:rsid w:val="00E91267"/>
    <w:rsid w:val="00E91275"/>
    <w:rsid w:val="00E91B0D"/>
    <w:rsid w:val="00E91DC9"/>
    <w:rsid w:val="00E91DF5"/>
    <w:rsid w:val="00E9204D"/>
    <w:rsid w:val="00E92587"/>
    <w:rsid w:val="00E9276F"/>
    <w:rsid w:val="00E9337F"/>
    <w:rsid w:val="00E933BA"/>
    <w:rsid w:val="00E936C8"/>
    <w:rsid w:val="00E93A96"/>
    <w:rsid w:val="00E93B8E"/>
    <w:rsid w:val="00E94402"/>
    <w:rsid w:val="00E94537"/>
    <w:rsid w:val="00E949FD"/>
    <w:rsid w:val="00E94CDA"/>
    <w:rsid w:val="00E94DBF"/>
    <w:rsid w:val="00E963E8"/>
    <w:rsid w:val="00E96EF3"/>
    <w:rsid w:val="00E977B1"/>
    <w:rsid w:val="00E97AED"/>
    <w:rsid w:val="00E97D11"/>
    <w:rsid w:val="00EA02BD"/>
    <w:rsid w:val="00EA0CDA"/>
    <w:rsid w:val="00EA0D98"/>
    <w:rsid w:val="00EA0DAF"/>
    <w:rsid w:val="00EA0F46"/>
    <w:rsid w:val="00EA0FC8"/>
    <w:rsid w:val="00EA12ED"/>
    <w:rsid w:val="00EA1302"/>
    <w:rsid w:val="00EA15C7"/>
    <w:rsid w:val="00EA1DCA"/>
    <w:rsid w:val="00EA1FB1"/>
    <w:rsid w:val="00EA240C"/>
    <w:rsid w:val="00EA2598"/>
    <w:rsid w:val="00EA259A"/>
    <w:rsid w:val="00EA32EF"/>
    <w:rsid w:val="00EA380A"/>
    <w:rsid w:val="00EA3CCF"/>
    <w:rsid w:val="00EA4259"/>
    <w:rsid w:val="00EA43A0"/>
    <w:rsid w:val="00EA457F"/>
    <w:rsid w:val="00EA4A92"/>
    <w:rsid w:val="00EA520C"/>
    <w:rsid w:val="00EA5B07"/>
    <w:rsid w:val="00EA5EFF"/>
    <w:rsid w:val="00EA6947"/>
    <w:rsid w:val="00EA7449"/>
    <w:rsid w:val="00EA74C1"/>
    <w:rsid w:val="00EA7518"/>
    <w:rsid w:val="00EA7A79"/>
    <w:rsid w:val="00EA7B6D"/>
    <w:rsid w:val="00EA7BB9"/>
    <w:rsid w:val="00EA7F30"/>
    <w:rsid w:val="00EA7FA4"/>
    <w:rsid w:val="00EB009B"/>
    <w:rsid w:val="00EB0307"/>
    <w:rsid w:val="00EB057A"/>
    <w:rsid w:val="00EB06BB"/>
    <w:rsid w:val="00EB09CE"/>
    <w:rsid w:val="00EB0D1B"/>
    <w:rsid w:val="00EB1520"/>
    <w:rsid w:val="00EB1549"/>
    <w:rsid w:val="00EB28F9"/>
    <w:rsid w:val="00EB2BE1"/>
    <w:rsid w:val="00EB2E54"/>
    <w:rsid w:val="00EB3410"/>
    <w:rsid w:val="00EB3785"/>
    <w:rsid w:val="00EB3F34"/>
    <w:rsid w:val="00EB4942"/>
    <w:rsid w:val="00EB49BD"/>
    <w:rsid w:val="00EB51AF"/>
    <w:rsid w:val="00EB546A"/>
    <w:rsid w:val="00EB54D7"/>
    <w:rsid w:val="00EB5CC8"/>
    <w:rsid w:val="00EB5CEA"/>
    <w:rsid w:val="00EB5E76"/>
    <w:rsid w:val="00EB65B1"/>
    <w:rsid w:val="00EB6B76"/>
    <w:rsid w:val="00EB702C"/>
    <w:rsid w:val="00EB73CD"/>
    <w:rsid w:val="00EB74B2"/>
    <w:rsid w:val="00EB7964"/>
    <w:rsid w:val="00EC04B4"/>
    <w:rsid w:val="00EC06B4"/>
    <w:rsid w:val="00EC086C"/>
    <w:rsid w:val="00EC0BEA"/>
    <w:rsid w:val="00EC0EC4"/>
    <w:rsid w:val="00EC114D"/>
    <w:rsid w:val="00EC11DC"/>
    <w:rsid w:val="00EC138D"/>
    <w:rsid w:val="00EC147F"/>
    <w:rsid w:val="00EC15DB"/>
    <w:rsid w:val="00EC18C4"/>
    <w:rsid w:val="00EC1B64"/>
    <w:rsid w:val="00EC1F9B"/>
    <w:rsid w:val="00EC2269"/>
    <w:rsid w:val="00EC2A71"/>
    <w:rsid w:val="00EC328D"/>
    <w:rsid w:val="00EC37B3"/>
    <w:rsid w:val="00EC3FB4"/>
    <w:rsid w:val="00EC453E"/>
    <w:rsid w:val="00EC4B0D"/>
    <w:rsid w:val="00EC4E24"/>
    <w:rsid w:val="00EC4E50"/>
    <w:rsid w:val="00EC5D38"/>
    <w:rsid w:val="00EC61FC"/>
    <w:rsid w:val="00EC6253"/>
    <w:rsid w:val="00EC62B1"/>
    <w:rsid w:val="00EC63B4"/>
    <w:rsid w:val="00EC63F2"/>
    <w:rsid w:val="00EC64F3"/>
    <w:rsid w:val="00EC65AB"/>
    <w:rsid w:val="00EC685A"/>
    <w:rsid w:val="00EC74D4"/>
    <w:rsid w:val="00EC7542"/>
    <w:rsid w:val="00EC77C3"/>
    <w:rsid w:val="00EC7DC3"/>
    <w:rsid w:val="00ED0331"/>
    <w:rsid w:val="00ED041D"/>
    <w:rsid w:val="00ED04E5"/>
    <w:rsid w:val="00ED154D"/>
    <w:rsid w:val="00ED1C4C"/>
    <w:rsid w:val="00ED1D91"/>
    <w:rsid w:val="00ED2202"/>
    <w:rsid w:val="00ED225B"/>
    <w:rsid w:val="00ED2846"/>
    <w:rsid w:val="00ED2C1B"/>
    <w:rsid w:val="00ED2E57"/>
    <w:rsid w:val="00ED3BC6"/>
    <w:rsid w:val="00ED3D4A"/>
    <w:rsid w:val="00ED495B"/>
    <w:rsid w:val="00ED49A6"/>
    <w:rsid w:val="00ED5922"/>
    <w:rsid w:val="00ED5AA6"/>
    <w:rsid w:val="00ED615B"/>
    <w:rsid w:val="00ED6A8D"/>
    <w:rsid w:val="00ED6B4F"/>
    <w:rsid w:val="00ED6C23"/>
    <w:rsid w:val="00ED7170"/>
    <w:rsid w:val="00ED720D"/>
    <w:rsid w:val="00ED7465"/>
    <w:rsid w:val="00ED74E2"/>
    <w:rsid w:val="00ED773F"/>
    <w:rsid w:val="00ED791D"/>
    <w:rsid w:val="00ED7CF9"/>
    <w:rsid w:val="00EE01C5"/>
    <w:rsid w:val="00EE041B"/>
    <w:rsid w:val="00EE04C1"/>
    <w:rsid w:val="00EE05BD"/>
    <w:rsid w:val="00EE09D4"/>
    <w:rsid w:val="00EE0BAD"/>
    <w:rsid w:val="00EE101C"/>
    <w:rsid w:val="00EE1CDF"/>
    <w:rsid w:val="00EE1FC6"/>
    <w:rsid w:val="00EE246C"/>
    <w:rsid w:val="00EE33D5"/>
    <w:rsid w:val="00EE3470"/>
    <w:rsid w:val="00EE3636"/>
    <w:rsid w:val="00EE3FE6"/>
    <w:rsid w:val="00EE40A8"/>
    <w:rsid w:val="00EE40D9"/>
    <w:rsid w:val="00EE443C"/>
    <w:rsid w:val="00EE4A62"/>
    <w:rsid w:val="00EE5379"/>
    <w:rsid w:val="00EE56A9"/>
    <w:rsid w:val="00EE5800"/>
    <w:rsid w:val="00EE59DC"/>
    <w:rsid w:val="00EE5EC4"/>
    <w:rsid w:val="00EE629F"/>
    <w:rsid w:val="00EE6411"/>
    <w:rsid w:val="00EE79AC"/>
    <w:rsid w:val="00EE7B6D"/>
    <w:rsid w:val="00EF01C4"/>
    <w:rsid w:val="00EF03A5"/>
    <w:rsid w:val="00EF06E6"/>
    <w:rsid w:val="00EF0D60"/>
    <w:rsid w:val="00EF0E0E"/>
    <w:rsid w:val="00EF120D"/>
    <w:rsid w:val="00EF12C8"/>
    <w:rsid w:val="00EF154F"/>
    <w:rsid w:val="00EF20A5"/>
    <w:rsid w:val="00EF20A6"/>
    <w:rsid w:val="00EF2130"/>
    <w:rsid w:val="00EF2700"/>
    <w:rsid w:val="00EF29E7"/>
    <w:rsid w:val="00EF2B71"/>
    <w:rsid w:val="00EF2E5D"/>
    <w:rsid w:val="00EF322C"/>
    <w:rsid w:val="00EF427C"/>
    <w:rsid w:val="00EF4437"/>
    <w:rsid w:val="00EF496E"/>
    <w:rsid w:val="00EF4DC2"/>
    <w:rsid w:val="00EF4F83"/>
    <w:rsid w:val="00EF58BE"/>
    <w:rsid w:val="00EF59BC"/>
    <w:rsid w:val="00EF5A7F"/>
    <w:rsid w:val="00EF6022"/>
    <w:rsid w:val="00EF632D"/>
    <w:rsid w:val="00EF63F6"/>
    <w:rsid w:val="00EF64FD"/>
    <w:rsid w:val="00EF676B"/>
    <w:rsid w:val="00EF6E55"/>
    <w:rsid w:val="00EF763B"/>
    <w:rsid w:val="00EF7AEC"/>
    <w:rsid w:val="00EF7D63"/>
    <w:rsid w:val="00EF7F8E"/>
    <w:rsid w:val="00F00087"/>
    <w:rsid w:val="00F01604"/>
    <w:rsid w:val="00F01774"/>
    <w:rsid w:val="00F01A58"/>
    <w:rsid w:val="00F01CB5"/>
    <w:rsid w:val="00F01F8A"/>
    <w:rsid w:val="00F0252B"/>
    <w:rsid w:val="00F02548"/>
    <w:rsid w:val="00F02C08"/>
    <w:rsid w:val="00F02C50"/>
    <w:rsid w:val="00F02EC8"/>
    <w:rsid w:val="00F03129"/>
    <w:rsid w:val="00F03313"/>
    <w:rsid w:val="00F0423B"/>
    <w:rsid w:val="00F043A5"/>
    <w:rsid w:val="00F04552"/>
    <w:rsid w:val="00F04BD2"/>
    <w:rsid w:val="00F05140"/>
    <w:rsid w:val="00F054F6"/>
    <w:rsid w:val="00F0556C"/>
    <w:rsid w:val="00F0576A"/>
    <w:rsid w:val="00F065FD"/>
    <w:rsid w:val="00F06BA2"/>
    <w:rsid w:val="00F07093"/>
    <w:rsid w:val="00F0720C"/>
    <w:rsid w:val="00F072C1"/>
    <w:rsid w:val="00F07B2F"/>
    <w:rsid w:val="00F07B31"/>
    <w:rsid w:val="00F07B74"/>
    <w:rsid w:val="00F10610"/>
    <w:rsid w:val="00F10B15"/>
    <w:rsid w:val="00F10BDD"/>
    <w:rsid w:val="00F114F4"/>
    <w:rsid w:val="00F11564"/>
    <w:rsid w:val="00F11963"/>
    <w:rsid w:val="00F119EE"/>
    <w:rsid w:val="00F11C52"/>
    <w:rsid w:val="00F11E0B"/>
    <w:rsid w:val="00F12227"/>
    <w:rsid w:val="00F1327B"/>
    <w:rsid w:val="00F139DD"/>
    <w:rsid w:val="00F13B65"/>
    <w:rsid w:val="00F13C62"/>
    <w:rsid w:val="00F13E96"/>
    <w:rsid w:val="00F14D1D"/>
    <w:rsid w:val="00F15161"/>
    <w:rsid w:val="00F15DA3"/>
    <w:rsid w:val="00F16118"/>
    <w:rsid w:val="00F161CD"/>
    <w:rsid w:val="00F165BF"/>
    <w:rsid w:val="00F16628"/>
    <w:rsid w:val="00F166A6"/>
    <w:rsid w:val="00F1749D"/>
    <w:rsid w:val="00F17AA5"/>
    <w:rsid w:val="00F17CC9"/>
    <w:rsid w:val="00F2065A"/>
    <w:rsid w:val="00F2070B"/>
    <w:rsid w:val="00F20894"/>
    <w:rsid w:val="00F20C2C"/>
    <w:rsid w:val="00F20C70"/>
    <w:rsid w:val="00F20CCE"/>
    <w:rsid w:val="00F2110F"/>
    <w:rsid w:val="00F21775"/>
    <w:rsid w:val="00F219FC"/>
    <w:rsid w:val="00F21DDA"/>
    <w:rsid w:val="00F22330"/>
    <w:rsid w:val="00F227EA"/>
    <w:rsid w:val="00F22BA9"/>
    <w:rsid w:val="00F22E1A"/>
    <w:rsid w:val="00F23109"/>
    <w:rsid w:val="00F23769"/>
    <w:rsid w:val="00F23E3B"/>
    <w:rsid w:val="00F23EF0"/>
    <w:rsid w:val="00F24477"/>
    <w:rsid w:val="00F246F6"/>
    <w:rsid w:val="00F2483E"/>
    <w:rsid w:val="00F24BFC"/>
    <w:rsid w:val="00F255E4"/>
    <w:rsid w:val="00F25E6A"/>
    <w:rsid w:val="00F26130"/>
    <w:rsid w:val="00F26A77"/>
    <w:rsid w:val="00F26B4C"/>
    <w:rsid w:val="00F26C93"/>
    <w:rsid w:val="00F26E5C"/>
    <w:rsid w:val="00F278DC"/>
    <w:rsid w:val="00F27F6A"/>
    <w:rsid w:val="00F3021A"/>
    <w:rsid w:val="00F30BED"/>
    <w:rsid w:val="00F30DE7"/>
    <w:rsid w:val="00F312AA"/>
    <w:rsid w:val="00F319FA"/>
    <w:rsid w:val="00F31D85"/>
    <w:rsid w:val="00F324B8"/>
    <w:rsid w:val="00F32BF9"/>
    <w:rsid w:val="00F343C1"/>
    <w:rsid w:val="00F34DE2"/>
    <w:rsid w:val="00F34EE1"/>
    <w:rsid w:val="00F357FD"/>
    <w:rsid w:val="00F364A5"/>
    <w:rsid w:val="00F36AF6"/>
    <w:rsid w:val="00F36BE0"/>
    <w:rsid w:val="00F373A7"/>
    <w:rsid w:val="00F37A13"/>
    <w:rsid w:val="00F37F32"/>
    <w:rsid w:val="00F40325"/>
    <w:rsid w:val="00F406F8"/>
    <w:rsid w:val="00F4086E"/>
    <w:rsid w:val="00F40ACD"/>
    <w:rsid w:val="00F40E56"/>
    <w:rsid w:val="00F40E5A"/>
    <w:rsid w:val="00F41BB7"/>
    <w:rsid w:val="00F42A14"/>
    <w:rsid w:val="00F42AA4"/>
    <w:rsid w:val="00F42C03"/>
    <w:rsid w:val="00F42D98"/>
    <w:rsid w:val="00F433A9"/>
    <w:rsid w:val="00F4363F"/>
    <w:rsid w:val="00F4386C"/>
    <w:rsid w:val="00F43A0E"/>
    <w:rsid w:val="00F44765"/>
    <w:rsid w:val="00F44AD1"/>
    <w:rsid w:val="00F44BFF"/>
    <w:rsid w:val="00F44C29"/>
    <w:rsid w:val="00F45224"/>
    <w:rsid w:val="00F4558B"/>
    <w:rsid w:val="00F45975"/>
    <w:rsid w:val="00F45B74"/>
    <w:rsid w:val="00F47D96"/>
    <w:rsid w:val="00F50524"/>
    <w:rsid w:val="00F506F3"/>
    <w:rsid w:val="00F513D4"/>
    <w:rsid w:val="00F517CC"/>
    <w:rsid w:val="00F526A4"/>
    <w:rsid w:val="00F52A22"/>
    <w:rsid w:val="00F52DD2"/>
    <w:rsid w:val="00F52E95"/>
    <w:rsid w:val="00F53113"/>
    <w:rsid w:val="00F534F4"/>
    <w:rsid w:val="00F538DA"/>
    <w:rsid w:val="00F53F12"/>
    <w:rsid w:val="00F54004"/>
    <w:rsid w:val="00F5470F"/>
    <w:rsid w:val="00F556F9"/>
    <w:rsid w:val="00F55AAB"/>
    <w:rsid w:val="00F55C09"/>
    <w:rsid w:val="00F567E5"/>
    <w:rsid w:val="00F57585"/>
    <w:rsid w:val="00F57620"/>
    <w:rsid w:val="00F57D24"/>
    <w:rsid w:val="00F57F57"/>
    <w:rsid w:val="00F57F9B"/>
    <w:rsid w:val="00F60232"/>
    <w:rsid w:val="00F60A5C"/>
    <w:rsid w:val="00F60C81"/>
    <w:rsid w:val="00F60E3F"/>
    <w:rsid w:val="00F60EEE"/>
    <w:rsid w:val="00F6116E"/>
    <w:rsid w:val="00F61899"/>
    <w:rsid w:val="00F6191B"/>
    <w:rsid w:val="00F6193F"/>
    <w:rsid w:val="00F62242"/>
    <w:rsid w:val="00F628A5"/>
    <w:rsid w:val="00F63937"/>
    <w:rsid w:val="00F639A9"/>
    <w:rsid w:val="00F63C27"/>
    <w:rsid w:val="00F63CD8"/>
    <w:rsid w:val="00F645C5"/>
    <w:rsid w:val="00F64980"/>
    <w:rsid w:val="00F64BB2"/>
    <w:rsid w:val="00F64C37"/>
    <w:rsid w:val="00F64C6E"/>
    <w:rsid w:val="00F652A7"/>
    <w:rsid w:val="00F6538F"/>
    <w:rsid w:val="00F65451"/>
    <w:rsid w:val="00F65F60"/>
    <w:rsid w:val="00F6629E"/>
    <w:rsid w:val="00F6642D"/>
    <w:rsid w:val="00F668B4"/>
    <w:rsid w:val="00F66B34"/>
    <w:rsid w:val="00F66BBE"/>
    <w:rsid w:val="00F66D2E"/>
    <w:rsid w:val="00F66D80"/>
    <w:rsid w:val="00F66DAC"/>
    <w:rsid w:val="00F6703E"/>
    <w:rsid w:val="00F672A1"/>
    <w:rsid w:val="00F6742A"/>
    <w:rsid w:val="00F6754E"/>
    <w:rsid w:val="00F6759A"/>
    <w:rsid w:val="00F675E1"/>
    <w:rsid w:val="00F67B0E"/>
    <w:rsid w:val="00F67B70"/>
    <w:rsid w:val="00F67F47"/>
    <w:rsid w:val="00F70B16"/>
    <w:rsid w:val="00F712D2"/>
    <w:rsid w:val="00F723C7"/>
    <w:rsid w:val="00F72614"/>
    <w:rsid w:val="00F728E2"/>
    <w:rsid w:val="00F72A5D"/>
    <w:rsid w:val="00F72ACC"/>
    <w:rsid w:val="00F72E8D"/>
    <w:rsid w:val="00F73141"/>
    <w:rsid w:val="00F73205"/>
    <w:rsid w:val="00F73566"/>
    <w:rsid w:val="00F73636"/>
    <w:rsid w:val="00F736F4"/>
    <w:rsid w:val="00F73719"/>
    <w:rsid w:val="00F73791"/>
    <w:rsid w:val="00F73B54"/>
    <w:rsid w:val="00F73D6D"/>
    <w:rsid w:val="00F7431B"/>
    <w:rsid w:val="00F748EF"/>
    <w:rsid w:val="00F74B58"/>
    <w:rsid w:val="00F75382"/>
    <w:rsid w:val="00F7539E"/>
    <w:rsid w:val="00F7571F"/>
    <w:rsid w:val="00F75C59"/>
    <w:rsid w:val="00F75DF7"/>
    <w:rsid w:val="00F76104"/>
    <w:rsid w:val="00F76200"/>
    <w:rsid w:val="00F7649D"/>
    <w:rsid w:val="00F76703"/>
    <w:rsid w:val="00F76973"/>
    <w:rsid w:val="00F771FB"/>
    <w:rsid w:val="00F77334"/>
    <w:rsid w:val="00F7799B"/>
    <w:rsid w:val="00F77C78"/>
    <w:rsid w:val="00F8049A"/>
    <w:rsid w:val="00F807DA"/>
    <w:rsid w:val="00F80CDF"/>
    <w:rsid w:val="00F80D8F"/>
    <w:rsid w:val="00F8158D"/>
    <w:rsid w:val="00F81C60"/>
    <w:rsid w:val="00F81DBD"/>
    <w:rsid w:val="00F81E2E"/>
    <w:rsid w:val="00F82117"/>
    <w:rsid w:val="00F8212B"/>
    <w:rsid w:val="00F82548"/>
    <w:rsid w:val="00F82BF7"/>
    <w:rsid w:val="00F82CE1"/>
    <w:rsid w:val="00F82F58"/>
    <w:rsid w:val="00F83204"/>
    <w:rsid w:val="00F834ED"/>
    <w:rsid w:val="00F83C03"/>
    <w:rsid w:val="00F842A8"/>
    <w:rsid w:val="00F846D4"/>
    <w:rsid w:val="00F848AA"/>
    <w:rsid w:val="00F84972"/>
    <w:rsid w:val="00F857D5"/>
    <w:rsid w:val="00F85804"/>
    <w:rsid w:val="00F85964"/>
    <w:rsid w:val="00F85F0F"/>
    <w:rsid w:val="00F85FF5"/>
    <w:rsid w:val="00F8647C"/>
    <w:rsid w:val="00F8651F"/>
    <w:rsid w:val="00F86F0F"/>
    <w:rsid w:val="00F87514"/>
    <w:rsid w:val="00F875BD"/>
    <w:rsid w:val="00F877D8"/>
    <w:rsid w:val="00F9016F"/>
    <w:rsid w:val="00F90577"/>
    <w:rsid w:val="00F90920"/>
    <w:rsid w:val="00F90984"/>
    <w:rsid w:val="00F91112"/>
    <w:rsid w:val="00F9143B"/>
    <w:rsid w:val="00F91A1C"/>
    <w:rsid w:val="00F91CC7"/>
    <w:rsid w:val="00F92C8C"/>
    <w:rsid w:val="00F93BBE"/>
    <w:rsid w:val="00F93CA8"/>
    <w:rsid w:val="00F93DF0"/>
    <w:rsid w:val="00F9481A"/>
    <w:rsid w:val="00F94BAA"/>
    <w:rsid w:val="00F950C8"/>
    <w:rsid w:val="00F9510A"/>
    <w:rsid w:val="00F95588"/>
    <w:rsid w:val="00F95B09"/>
    <w:rsid w:val="00F966CB"/>
    <w:rsid w:val="00F96D9B"/>
    <w:rsid w:val="00F97381"/>
    <w:rsid w:val="00F97C83"/>
    <w:rsid w:val="00F97CBD"/>
    <w:rsid w:val="00FA02E7"/>
    <w:rsid w:val="00FA06FB"/>
    <w:rsid w:val="00FA0715"/>
    <w:rsid w:val="00FA0786"/>
    <w:rsid w:val="00FA0817"/>
    <w:rsid w:val="00FA181B"/>
    <w:rsid w:val="00FA24EF"/>
    <w:rsid w:val="00FA287C"/>
    <w:rsid w:val="00FA2C65"/>
    <w:rsid w:val="00FA2E67"/>
    <w:rsid w:val="00FA35D9"/>
    <w:rsid w:val="00FA378B"/>
    <w:rsid w:val="00FA395E"/>
    <w:rsid w:val="00FA3CCB"/>
    <w:rsid w:val="00FA44CA"/>
    <w:rsid w:val="00FA4E61"/>
    <w:rsid w:val="00FA506A"/>
    <w:rsid w:val="00FA561C"/>
    <w:rsid w:val="00FA5E9F"/>
    <w:rsid w:val="00FA6074"/>
    <w:rsid w:val="00FA62A0"/>
    <w:rsid w:val="00FA66E2"/>
    <w:rsid w:val="00FA6702"/>
    <w:rsid w:val="00FA748E"/>
    <w:rsid w:val="00FA76B2"/>
    <w:rsid w:val="00FA7852"/>
    <w:rsid w:val="00FA7DF4"/>
    <w:rsid w:val="00FA7E6D"/>
    <w:rsid w:val="00FA7FD1"/>
    <w:rsid w:val="00FB07F0"/>
    <w:rsid w:val="00FB0E46"/>
    <w:rsid w:val="00FB1558"/>
    <w:rsid w:val="00FB1760"/>
    <w:rsid w:val="00FB1980"/>
    <w:rsid w:val="00FB1B09"/>
    <w:rsid w:val="00FB1B8F"/>
    <w:rsid w:val="00FB1CFC"/>
    <w:rsid w:val="00FB1D6A"/>
    <w:rsid w:val="00FB2810"/>
    <w:rsid w:val="00FB2944"/>
    <w:rsid w:val="00FB29A0"/>
    <w:rsid w:val="00FB3204"/>
    <w:rsid w:val="00FB3725"/>
    <w:rsid w:val="00FB3731"/>
    <w:rsid w:val="00FB3BD2"/>
    <w:rsid w:val="00FB3EED"/>
    <w:rsid w:val="00FB3FA3"/>
    <w:rsid w:val="00FB4CC7"/>
    <w:rsid w:val="00FB57BD"/>
    <w:rsid w:val="00FB5A1E"/>
    <w:rsid w:val="00FB68CD"/>
    <w:rsid w:val="00FB78BA"/>
    <w:rsid w:val="00FB7FB3"/>
    <w:rsid w:val="00FC092F"/>
    <w:rsid w:val="00FC0BFE"/>
    <w:rsid w:val="00FC10C7"/>
    <w:rsid w:val="00FC1408"/>
    <w:rsid w:val="00FC1B14"/>
    <w:rsid w:val="00FC20B8"/>
    <w:rsid w:val="00FC2464"/>
    <w:rsid w:val="00FC2B26"/>
    <w:rsid w:val="00FC3433"/>
    <w:rsid w:val="00FC380A"/>
    <w:rsid w:val="00FC3C96"/>
    <w:rsid w:val="00FC4028"/>
    <w:rsid w:val="00FC452D"/>
    <w:rsid w:val="00FC46B3"/>
    <w:rsid w:val="00FC49AB"/>
    <w:rsid w:val="00FC5019"/>
    <w:rsid w:val="00FC52AA"/>
    <w:rsid w:val="00FC5422"/>
    <w:rsid w:val="00FC582B"/>
    <w:rsid w:val="00FC592B"/>
    <w:rsid w:val="00FC5E11"/>
    <w:rsid w:val="00FC65A0"/>
    <w:rsid w:val="00FC67A7"/>
    <w:rsid w:val="00FC6FAE"/>
    <w:rsid w:val="00FC76E9"/>
    <w:rsid w:val="00FC7A04"/>
    <w:rsid w:val="00FC7FDD"/>
    <w:rsid w:val="00FD00EE"/>
    <w:rsid w:val="00FD0936"/>
    <w:rsid w:val="00FD1199"/>
    <w:rsid w:val="00FD1A69"/>
    <w:rsid w:val="00FD1FD0"/>
    <w:rsid w:val="00FD20AC"/>
    <w:rsid w:val="00FD2784"/>
    <w:rsid w:val="00FD2842"/>
    <w:rsid w:val="00FD2B59"/>
    <w:rsid w:val="00FD3001"/>
    <w:rsid w:val="00FD32D0"/>
    <w:rsid w:val="00FD337F"/>
    <w:rsid w:val="00FD34FB"/>
    <w:rsid w:val="00FD390D"/>
    <w:rsid w:val="00FD3B98"/>
    <w:rsid w:val="00FD428D"/>
    <w:rsid w:val="00FD45FF"/>
    <w:rsid w:val="00FD49AF"/>
    <w:rsid w:val="00FD4CF3"/>
    <w:rsid w:val="00FD5553"/>
    <w:rsid w:val="00FD58AF"/>
    <w:rsid w:val="00FD61B1"/>
    <w:rsid w:val="00FD668F"/>
    <w:rsid w:val="00FD6A59"/>
    <w:rsid w:val="00FD6C9B"/>
    <w:rsid w:val="00FD6CA4"/>
    <w:rsid w:val="00FD7664"/>
    <w:rsid w:val="00FD7F7A"/>
    <w:rsid w:val="00FE0351"/>
    <w:rsid w:val="00FE0E31"/>
    <w:rsid w:val="00FE0F66"/>
    <w:rsid w:val="00FE14C5"/>
    <w:rsid w:val="00FE175C"/>
    <w:rsid w:val="00FE17C6"/>
    <w:rsid w:val="00FE1F38"/>
    <w:rsid w:val="00FE213E"/>
    <w:rsid w:val="00FE23E3"/>
    <w:rsid w:val="00FE24BA"/>
    <w:rsid w:val="00FE27FF"/>
    <w:rsid w:val="00FE28DB"/>
    <w:rsid w:val="00FE3590"/>
    <w:rsid w:val="00FE3F56"/>
    <w:rsid w:val="00FE41C8"/>
    <w:rsid w:val="00FE43AC"/>
    <w:rsid w:val="00FE4B6C"/>
    <w:rsid w:val="00FE4BF4"/>
    <w:rsid w:val="00FE4EB0"/>
    <w:rsid w:val="00FE5B1C"/>
    <w:rsid w:val="00FE6375"/>
    <w:rsid w:val="00FE6555"/>
    <w:rsid w:val="00FE6EEA"/>
    <w:rsid w:val="00FE72BE"/>
    <w:rsid w:val="00FE79E9"/>
    <w:rsid w:val="00FE7AAF"/>
    <w:rsid w:val="00FE7DB4"/>
    <w:rsid w:val="00FF03DE"/>
    <w:rsid w:val="00FF0956"/>
    <w:rsid w:val="00FF099F"/>
    <w:rsid w:val="00FF0A07"/>
    <w:rsid w:val="00FF0FD4"/>
    <w:rsid w:val="00FF19CC"/>
    <w:rsid w:val="00FF2037"/>
    <w:rsid w:val="00FF21A7"/>
    <w:rsid w:val="00FF21FC"/>
    <w:rsid w:val="00FF232C"/>
    <w:rsid w:val="00FF29DB"/>
    <w:rsid w:val="00FF2E8F"/>
    <w:rsid w:val="00FF3108"/>
    <w:rsid w:val="00FF335F"/>
    <w:rsid w:val="00FF3F05"/>
    <w:rsid w:val="00FF4057"/>
    <w:rsid w:val="00FF424D"/>
    <w:rsid w:val="00FF45DD"/>
    <w:rsid w:val="00FF4919"/>
    <w:rsid w:val="00FF562C"/>
    <w:rsid w:val="00FF60DD"/>
    <w:rsid w:val="00FF62BA"/>
    <w:rsid w:val="00FF6579"/>
    <w:rsid w:val="00FF6B5A"/>
    <w:rsid w:val="00FF6C77"/>
    <w:rsid w:val="00FF6F07"/>
    <w:rsid w:val="00FF71A4"/>
    <w:rsid w:val="00FF7CB7"/>
    <w:rsid w:val="02D23FD2"/>
    <w:rsid w:val="02F089F1"/>
    <w:rsid w:val="041D4D50"/>
    <w:rsid w:val="045BD0A7"/>
    <w:rsid w:val="047CBD7E"/>
    <w:rsid w:val="058B55E6"/>
    <w:rsid w:val="06B81C21"/>
    <w:rsid w:val="07AC3CBA"/>
    <w:rsid w:val="085A1D2B"/>
    <w:rsid w:val="087677D5"/>
    <w:rsid w:val="0984445F"/>
    <w:rsid w:val="09F86CB6"/>
    <w:rsid w:val="0B10597C"/>
    <w:rsid w:val="0B31FC26"/>
    <w:rsid w:val="0B5A44B1"/>
    <w:rsid w:val="0B7A2A09"/>
    <w:rsid w:val="0BB9BD7B"/>
    <w:rsid w:val="0DD02619"/>
    <w:rsid w:val="0E2D0148"/>
    <w:rsid w:val="0EB5F950"/>
    <w:rsid w:val="10B266A5"/>
    <w:rsid w:val="1322A2E3"/>
    <w:rsid w:val="134CC5B1"/>
    <w:rsid w:val="16529053"/>
    <w:rsid w:val="179C3D43"/>
    <w:rsid w:val="191FCCD1"/>
    <w:rsid w:val="197FC71A"/>
    <w:rsid w:val="1B3CC137"/>
    <w:rsid w:val="1BD74838"/>
    <w:rsid w:val="1EA3B69D"/>
    <w:rsid w:val="22467956"/>
    <w:rsid w:val="238762FA"/>
    <w:rsid w:val="29EFA3AC"/>
    <w:rsid w:val="2E03C76B"/>
    <w:rsid w:val="2E6A3E7D"/>
    <w:rsid w:val="2F870B79"/>
    <w:rsid w:val="2FBE0A6A"/>
    <w:rsid w:val="33EDE500"/>
    <w:rsid w:val="34369741"/>
    <w:rsid w:val="358074FD"/>
    <w:rsid w:val="366BC903"/>
    <w:rsid w:val="36A2A238"/>
    <w:rsid w:val="379BECF7"/>
    <w:rsid w:val="3BAD6F06"/>
    <w:rsid w:val="3C50986B"/>
    <w:rsid w:val="3D970EFB"/>
    <w:rsid w:val="3F47880D"/>
    <w:rsid w:val="41987815"/>
    <w:rsid w:val="4364A878"/>
    <w:rsid w:val="45973E10"/>
    <w:rsid w:val="48D57B3E"/>
    <w:rsid w:val="48F9E53A"/>
    <w:rsid w:val="49ED1F86"/>
    <w:rsid w:val="4B32AC55"/>
    <w:rsid w:val="4DD55046"/>
    <w:rsid w:val="4EB5CA60"/>
    <w:rsid w:val="4EC2C1E0"/>
    <w:rsid w:val="506F74B1"/>
    <w:rsid w:val="54D1AF6C"/>
    <w:rsid w:val="5601EC71"/>
    <w:rsid w:val="58433269"/>
    <w:rsid w:val="58EAAC95"/>
    <w:rsid w:val="5AE481E1"/>
    <w:rsid w:val="5C067146"/>
    <w:rsid w:val="5E83B6B0"/>
    <w:rsid w:val="639DEABD"/>
    <w:rsid w:val="65C64918"/>
    <w:rsid w:val="682869BE"/>
    <w:rsid w:val="691CEBE0"/>
    <w:rsid w:val="69459142"/>
    <w:rsid w:val="6AB8BC41"/>
    <w:rsid w:val="6BA24E72"/>
    <w:rsid w:val="6BC6C7F1"/>
    <w:rsid w:val="6D15778B"/>
    <w:rsid w:val="6E3B1234"/>
    <w:rsid w:val="6F3A5A52"/>
    <w:rsid w:val="718D59B1"/>
    <w:rsid w:val="721FEC9B"/>
    <w:rsid w:val="73481944"/>
    <w:rsid w:val="7525A649"/>
    <w:rsid w:val="771EC7A9"/>
    <w:rsid w:val="7742833A"/>
    <w:rsid w:val="77802949"/>
    <w:rsid w:val="77937EA1"/>
    <w:rsid w:val="779D9309"/>
    <w:rsid w:val="79186E5A"/>
    <w:rsid w:val="796240D1"/>
    <w:rsid w:val="79A737C0"/>
    <w:rsid w:val="7A77875C"/>
    <w:rsid w:val="7B5C977B"/>
    <w:rsid w:val="7B8FE3A1"/>
    <w:rsid w:val="7B9AB1CB"/>
    <w:rsid w:val="7BFC9FDD"/>
    <w:rsid w:val="7D755364"/>
    <w:rsid w:val="7D8739BB"/>
    <w:rsid w:val="7E8172BE"/>
    <w:rsid w:val="7E8C0060"/>
    <w:rsid w:val="7F53A7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34F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2A8"/>
    <w:pPr>
      <w:jc w:val="both"/>
    </w:pPr>
  </w:style>
  <w:style w:type="paragraph" w:styleId="Heading1">
    <w:name w:val="heading 1"/>
    <w:basedOn w:val="Normal"/>
    <w:next w:val="Normal"/>
    <w:link w:val="Heading1Char"/>
    <w:uiPriority w:val="9"/>
    <w:qFormat/>
    <w:rsid w:val="00756E07"/>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756E07"/>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56E07"/>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756E07"/>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unhideWhenUsed/>
    <w:qFormat/>
    <w:rsid w:val="00756E07"/>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756E07"/>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756E07"/>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756E07"/>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756E07"/>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E07"/>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rsid w:val="00756E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56E07"/>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rsid w:val="00756E07"/>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rsid w:val="00756E07"/>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756E07"/>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756E07"/>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756E07"/>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756E07"/>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unhideWhenUsed/>
    <w:qFormat/>
    <w:rsid w:val="00756E07"/>
    <w:pPr>
      <w:spacing w:line="240" w:lineRule="auto"/>
    </w:pPr>
    <w:rPr>
      <w:b/>
      <w:bCs/>
      <w:smallCaps/>
      <w:color w:val="44546A" w:themeColor="text2"/>
    </w:rPr>
  </w:style>
  <w:style w:type="paragraph" w:styleId="Title">
    <w:name w:val="Title"/>
    <w:basedOn w:val="Normal"/>
    <w:next w:val="Normal"/>
    <w:link w:val="TitleChar"/>
    <w:uiPriority w:val="10"/>
    <w:qFormat/>
    <w:rsid w:val="00756E07"/>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756E07"/>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756E0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756E07"/>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756E07"/>
    <w:rPr>
      <w:b/>
      <w:bCs/>
    </w:rPr>
  </w:style>
  <w:style w:type="character" w:styleId="Emphasis">
    <w:name w:val="Emphasis"/>
    <w:basedOn w:val="DefaultParagraphFont"/>
    <w:uiPriority w:val="20"/>
    <w:qFormat/>
    <w:rsid w:val="00DF5E38"/>
    <w:rPr>
      <w:i/>
      <w:iCs/>
      <w:sz w:val="24"/>
      <w:u w:val="single"/>
    </w:rPr>
  </w:style>
  <w:style w:type="paragraph" w:styleId="NoSpacing">
    <w:name w:val="No Spacing"/>
    <w:uiPriority w:val="1"/>
    <w:qFormat/>
    <w:rsid w:val="00756E07"/>
    <w:pPr>
      <w:spacing w:after="0" w:line="240" w:lineRule="auto"/>
    </w:pPr>
  </w:style>
  <w:style w:type="paragraph" w:styleId="Quote">
    <w:name w:val="Quote"/>
    <w:basedOn w:val="Normal"/>
    <w:next w:val="Normal"/>
    <w:link w:val="QuoteChar"/>
    <w:uiPriority w:val="29"/>
    <w:qFormat/>
    <w:rsid w:val="00756E07"/>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56E07"/>
    <w:rPr>
      <w:color w:val="44546A" w:themeColor="text2"/>
      <w:sz w:val="24"/>
      <w:szCs w:val="24"/>
    </w:rPr>
  </w:style>
  <w:style w:type="paragraph" w:styleId="IntenseQuote">
    <w:name w:val="Intense Quote"/>
    <w:basedOn w:val="Normal"/>
    <w:next w:val="Normal"/>
    <w:link w:val="IntenseQuoteChar"/>
    <w:uiPriority w:val="30"/>
    <w:qFormat/>
    <w:rsid w:val="00756E07"/>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56E07"/>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756E07"/>
    <w:rPr>
      <w:i/>
      <w:iCs/>
      <w:color w:val="595959" w:themeColor="text1" w:themeTint="A6"/>
    </w:rPr>
  </w:style>
  <w:style w:type="character" w:styleId="IntenseEmphasis">
    <w:name w:val="Intense Emphasis"/>
    <w:basedOn w:val="DefaultParagraphFont"/>
    <w:uiPriority w:val="21"/>
    <w:qFormat/>
    <w:rsid w:val="00756E07"/>
    <w:rPr>
      <w:b/>
      <w:bCs/>
      <w:i/>
      <w:iCs/>
    </w:rPr>
  </w:style>
  <w:style w:type="character" w:styleId="SubtleReference">
    <w:name w:val="Subtle Reference"/>
    <w:basedOn w:val="DefaultParagraphFont"/>
    <w:uiPriority w:val="31"/>
    <w:qFormat/>
    <w:rsid w:val="00756E07"/>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56E07"/>
    <w:rPr>
      <w:b/>
      <w:bCs/>
      <w:smallCaps/>
      <w:color w:val="44546A" w:themeColor="text2"/>
      <w:u w:val="single"/>
    </w:rPr>
  </w:style>
  <w:style w:type="character" w:styleId="BookTitle">
    <w:name w:val="Book Title"/>
    <w:basedOn w:val="DefaultParagraphFont"/>
    <w:uiPriority w:val="33"/>
    <w:qFormat/>
    <w:rsid w:val="00756E07"/>
    <w:rPr>
      <w:b/>
      <w:bCs/>
      <w:smallCaps/>
      <w:spacing w:val="10"/>
    </w:rPr>
  </w:style>
  <w:style w:type="paragraph" w:styleId="TOCHeading">
    <w:name w:val="TOC Heading"/>
    <w:basedOn w:val="Heading1"/>
    <w:next w:val="Normal"/>
    <w:uiPriority w:val="39"/>
    <w:unhideWhenUsed/>
    <w:qFormat/>
    <w:rsid w:val="00756E07"/>
    <w:pPr>
      <w:outlineLvl w:val="9"/>
    </w:pPr>
  </w:style>
  <w:style w:type="paragraph" w:styleId="ListParagraph">
    <w:name w:val="List Paragraph"/>
    <w:basedOn w:val="Normal"/>
    <w:link w:val="ListParagraphChar"/>
    <w:uiPriority w:val="34"/>
    <w:qFormat/>
    <w:rsid w:val="00756E07"/>
    <w:pPr>
      <w:spacing w:after="240" w:line="240" w:lineRule="auto"/>
      <w:ind w:left="720"/>
      <w:contextualSpacing/>
    </w:pPr>
    <w:rPr>
      <w:rFonts w:ascii="Arial" w:eastAsiaTheme="minorHAnsi" w:hAnsi="Arial"/>
      <w:sz w:val="24"/>
    </w:rPr>
  </w:style>
  <w:style w:type="character" w:styleId="CommentReference">
    <w:name w:val="annotation reference"/>
    <w:basedOn w:val="DefaultParagraphFont"/>
    <w:uiPriority w:val="99"/>
    <w:unhideWhenUsed/>
    <w:rsid w:val="00756E07"/>
    <w:rPr>
      <w:sz w:val="16"/>
      <w:szCs w:val="16"/>
    </w:rPr>
  </w:style>
  <w:style w:type="paragraph" w:styleId="CommentText">
    <w:name w:val="annotation text"/>
    <w:basedOn w:val="Normal"/>
    <w:link w:val="CommentTextChar"/>
    <w:uiPriority w:val="99"/>
    <w:unhideWhenUsed/>
    <w:rsid w:val="00756E07"/>
    <w:pPr>
      <w:spacing w:after="240" w:line="240" w:lineRule="auto"/>
    </w:pPr>
    <w:rPr>
      <w:rFonts w:ascii="Arial" w:eastAsiaTheme="minorHAnsi" w:hAnsi="Arial"/>
      <w:sz w:val="20"/>
      <w:szCs w:val="20"/>
    </w:rPr>
  </w:style>
  <w:style w:type="character" w:customStyle="1" w:styleId="CommentTextChar">
    <w:name w:val="Comment Text Char"/>
    <w:basedOn w:val="DefaultParagraphFont"/>
    <w:link w:val="CommentText"/>
    <w:uiPriority w:val="99"/>
    <w:rsid w:val="00756E07"/>
    <w:rPr>
      <w:rFonts w:ascii="Arial" w:eastAsiaTheme="minorHAnsi" w:hAnsi="Arial"/>
      <w:sz w:val="20"/>
      <w:szCs w:val="20"/>
    </w:rPr>
  </w:style>
  <w:style w:type="character" w:customStyle="1" w:styleId="ListParagraphChar">
    <w:name w:val="List Paragraph Char"/>
    <w:basedOn w:val="DefaultParagraphFont"/>
    <w:link w:val="ListParagraph"/>
    <w:uiPriority w:val="34"/>
    <w:rsid w:val="00756E07"/>
    <w:rPr>
      <w:rFonts w:ascii="Arial" w:eastAsiaTheme="minorHAnsi" w:hAnsi="Arial"/>
      <w:sz w:val="24"/>
    </w:rPr>
  </w:style>
  <w:style w:type="character" w:styleId="Hyperlink">
    <w:name w:val="Hyperlink"/>
    <w:basedOn w:val="DefaultParagraphFont"/>
    <w:uiPriority w:val="99"/>
    <w:unhideWhenUsed/>
    <w:rsid w:val="00756E07"/>
    <w:rPr>
      <w:rFonts w:ascii="Times New Roman" w:hAnsi="Times New Roman" w:cs="Times New Roman" w:hint="default"/>
      <w:color w:val="0000FF"/>
      <w:u w:val="single"/>
    </w:rPr>
  </w:style>
  <w:style w:type="paragraph" w:styleId="NormalWeb">
    <w:name w:val="Normal (Web)"/>
    <w:basedOn w:val="Normal"/>
    <w:uiPriority w:val="99"/>
    <w:unhideWhenUsed/>
    <w:rsid w:val="00756E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56E07"/>
  </w:style>
  <w:style w:type="paragraph" w:styleId="Revision">
    <w:name w:val="Revision"/>
    <w:hidden/>
    <w:uiPriority w:val="99"/>
    <w:semiHidden/>
    <w:rsid w:val="00BE3E3C"/>
    <w:pPr>
      <w:spacing w:after="0" w:line="240" w:lineRule="auto"/>
    </w:pPr>
  </w:style>
  <w:style w:type="paragraph" w:styleId="FootnoteText">
    <w:name w:val="footnote text"/>
    <w:basedOn w:val="Normal"/>
    <w:link w:val="FootnoteTextChar"/>
    <w:uiPriority w:val="99"/>
    <w:semiHidden/>
    <w:unhideWhenUsed/>
    <w:rsid w:val="00BE3E3C"/>
    <w:pPr>
      <w:spacing w:after="0" w:line="240" w:lineRule="auto"/>
    </w:pPr>
    <w:rPr>
      <w:rFonts w:ascii="Arial" w:eastAsiaTheme="minorHAnsi" w:hAnsi="Arial"/>
      <w:sz w:val="20"/>
      <w:szCs w:val="20"/>
    </w:rPr>
  </w:style>
  <w:style w:type="character" w:customStyle="1" w:styleId="FootnoteTextChar">
    <w:name w:val="Footnote Text Char"/>
    <w:basedOn w:val="DefaultParagraphFont"/>
    <w:link w:val="FootnoteText"/>
    <w:uiPriority w:val="99"/>
    <w:semiHidden/>
    <w:rsid w:val="00BE3E3C"/>
    <w:rPr>
      <w:rFonts w:ascii="Arial" w:eastAsiaTheme="minorHAnsi" w:hAnsi="Arial"/>
      <w:sz w:val="20"/>
      <w:szCs w:val="20"/>
    </w:rPr>
  </w:style>
  <w:style w:type="character" w:styleId="FootnoteReference">
    <w:name w:val="footnote reference"/>
    <w:basedOn w:val="DefaultParagraphFont"/>
    <w:uiPriority w:val="99"/>
    <w:semiHidden/>
    <w:unhideWhenUsed/>
    <w:rsid w:val="00BE3E3C"/>
    <w:rPr>
      <w:vertAlign w:val="superscript"/>
    </w:rPr>
  </w:style>
  <w:style w:type="paragraph" w:styleId="Header">
    <w:name w:val="header"/>
    <w:basedOn w:val="Normal"/>
    <w:link w:val="HeaderChar"/>
    <w:uiPriority w:val="99"/>
    <w:unhideWhenUsed/>
    <w:rsid w:val="002D0C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0CED"/>
  </w:style>
  <w:style w:type="paragraph" w:styleId="Footer">
    <w:name w:val="footer"/>
    <w:basedOn w:val="Normal"/>
    <w:link w:val="FooterChar"/>
    <w:uiPriority w:val="99"/>
    <w:unhideWhenUsed/>
    <w:rsid w:val="002D0C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CED"/>
  </w:style>
  <w:style w:type="paragraph" w:styleId="CommentSubject">
    <w:name w:val="annotation subject"/>
    <w:basedOn w:val="CommentText"/>
    <w:next w:val="CommentText"/>
    <w:link w:val="CommentSubjectChar"/>
    <w:uiPriority w:val="99"/>
    <w:semiHidden/>
    <w:unhideWhenUsed/>
    <w:rsid w:val="0091049B"/>
    <w:pPr>
      <w:spacing w:after="160"/>
      <w:jc w:val="left"/>
    </w:pPr>
    <w:rPr>
      <w:rFonts w:asciiTheme="minorHAnsi" w:eastAsiaTheme="minorEastAsia" w:hAnsiTheme="minorHAnsi"/>
      <w:b/>
      <w:bCs/>
    </w:rPr>
  </w:style>
  <w:style w:type="character" w:customStyle="1" w:styleId="CommentSubjectChar">
    <w:name w:val="Comment Subject Char"/>
    <w:basedOn w:val="CommentTextChar"/>
    <w:link w:val="CommentSubject"/>
    <w:uiPriority w:val="99"/>
    <w:semiHidden/>
    <w:rsid w:val="0091049B"/>
    <w:rPr>
      <w:rFonts w:ascii="Arial" w:eastAsiaTheme="minorHAnsi" w:hAnsi="Arial"/>
      <w:b/>
      <w:bCs/>
      <w:sz w:val="20"/>
      <w:szCs w:val="20"/>
    </w:rPr>
  </w:style>
  <w:style w:type="paragraph" w:styleId="TOC1">
    <w:name w:val="toc 1"/>
    <w:basedOn w:val="Normal"/>
    <w:next w:val="Normal"/>
    <w:autoRedefine/>
    <w:uiPriority w:val="39"/>
    <w:unhideWhenUsed/>
    <w:rsid w:val="006A00A0"/>
    <w:pPr>
      <w:tabs>
        <w:tab w:val="right" w:leader="dot" w:pos="9350"/>
      </w:tabs>
      <w:spacing w:after="100"/>
    </w:pPr>
  </w:style>
  <w:style w:type="paragraph" w:styleId="TOC2">
    <w:name w:val="toc 2"/>
    <w:basedOn w:val="Normal"/>
    <w:next w:val="Normal"/>
    <w:autoRedefine/>
    <w:uiPriority w:val="39"/>
    <w:unhideWhenUsed/>
    <w:rsid w:val="009064B4"/>
    <w:pPr>
      <w:tabs>
        <w:tab w:val="left" w:pos="880"/>
        <w:tab w:val="right" w:leader="dot" w:pos="9350"/>
      </w:tabs>
      <w:spacing w:after="100"/>
      <w:ind w:left="720"/>
    </w:pPr>
  </w:style>
  <w:style w:type="paragraph" w:styleId="TOC3">
    <w:name w:val="toc 3"/>
    <w:basedOn w:val="Normal"/>
    <w:next w:val="Normal"/>
    <w:autoRedefine/>
    <w:uiPriority w:val="39"/>
    <w:unhideWhenUsed/>
    <w:rsid w:val="00A57762"/>
    <w:pPr>
      <w:tabs>
        <w:tab w:val="right" w:leader="dot" w:pos="9350"/>
      </w:tabs>
      <w:spacing w:after="100"/>
      <w:ind w:left="440"/>
    </w:pPr>
  </w:style>
  <w:style w:type="table" w:styleId="TableGrid">
    <w:name w:val="Table Grid"/>
    <w:basedOn w:val="TableNormal"/>
    <w:uiPriority w:val="59"/>
    <w:rsid w:val="00EB3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7Colorful">
    <w:name w:val="Grid Table 7 Colorful"/>
    <w:basedOn w:val="TableNormal"/>
    <w:uiPriority w:val="52"/>
    <w:rsid w:val="003777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7Colorful">
    <w:name w:val="List Table 7 Colorful"/>
    <w:basedOn w:val="TableNormal"/>
    <w:uiPriority w:val="52"/>
    <w:rsid w:val="0037771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37771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37771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efault">
    <w:name w:val="Default"/>
    <w:rsid w:val="00306BC4"/>
    <w:pPr>
      <w:autoSpaceDE w:val="0"/>
      <w:autoSpaceDN w:val="0"/>
      <w:adjustRightInd w:val="0"/>
      <w:spacing w:after="0" w:line="240" w:lineRule="auto"/>
    </w:pPr>
    <w:rPr>
      <w:rFonts w:ascii="Cambria" w:eastAsiaTheme="minorHAnsi" w:hAnsi="Cambria" w:cs="Cambria"/>
      <w:color w:val="000000"/>
      <w:sz w:val="24"/>
      <w:szCs w:val="24"/>
    </w:rPr>
  </w:style>
  <w:style w:type="character" w:customStyle="1" w:styleId="normaltextrun1">
    <w:name w:val="normaltextrun1"/>
    <w:basedOn w:val="DefaultParagraphFont"/>
    <w:rsid w:val="00756F30"/>
  </w:style>
  <w:style w:type="character" w:styleId="Mention">
    <w:name w:val="Mention"/>
    <w:basedOn w:val="DefaultParagraphFont"/>
    <w:uiPriority w:val="99"/>
    <w:unhideWhenUsed/>
    <w:rsid w:val="00576D2E"/>
    <w:rPr>
      <w:color w:val="2B579A"/>
      <w:shd w:val="clear" w:color="auto" w:fill="E1DFDD"/>
    </w:rPr>
  </w:style>
  <w:style w:type="paragraph" w:styleId="EndnoteText">
    <w:name w:val="endnote text"/>
    <w:basedOn w:val="Normal"/>
    <w:link w:val="EndnoteTextChar"/>
    <w:uiPriority w:val="99"/>
    <w:semiHidden/>
    <w:unhideWhenUsed/>
    <w:rsid w:val="00E30E1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30E13"/>
    <w:rPr>
      <w:sz w:val="20"/>
      <w:szCs w:val="20"/>
    </w:rPr>
  </w:style>
  <w:style w:type="character" w:styleId="EndnoteReference">
    <w:name w:val="endnote reference"/>
    <w:basedOn w:val="DefaultParagraphFont"/>
    <w:uiPriority w:val="99"/>
    <w:semiHidden/>
    <w:unhideWhenUsed/>
    <w:rsid w:val="00E30E13"/>
    <w:rPr>
      <w:vertAlign w:val="superscript"/>
    </w:rPr>
  </w:style>
  <w:style w:type="paragraph" w:customStyle="1" w:styleId="BBBodyTextFlush">
    <w:name w:val="BB Body Text Flush"/>
    <w:basedOn w:val="Normal"/>
    <w:qFormat/>
    <w:rsid w:val="004B261A"/>
    <w:pPr>
      <w:spacing w:after="240" w:line="240" w:lineRule="auto"/>
    </w:pPr>
    <w:rPr>
      <w:rFonts w:ascii="Times New Roman" w:eastAsia="Calibri" w:hAnsi="Times New Roman" w:cs="Times New Roman"/>
      <w:sz w:val="24"/>
      <w:szCs w:val="24"/>
    </w:rPr>
  </w:style>
  <w:style w:type="paragraph" w:customStyle="1" w:styleId="paragraphtitle">
    <w:name w:val="paragraph title"/>
    <w:basedOn w:val="Normal"/>
    <w:link w:val="paragraphtitleChar"/>
    <w:rsid w:val="00E02C42"/>
    <w:pPr>
      <w:keepNext/>
      <w:autoSpaceDE w:val="0"/>
      <w:autoSpaceDN w:val="0"/>
      <w:adjustRightInd w:val="0"/>
      <w:spacing w:after="0" w:line="240" w:lineRule="auto"/>
      <w:jc w:val="left"/>
    </w:pPr>
    <w:rPr>
      <w:rFonts w:ascii="Times New Roman" w:eastAsia="Times New Roman" w:hAnsi="Times New Roman" w:cs="Times New Roman"/>
      <w:b/>
      <w:bCs/>
      <w:color w:val="000080"/>
      <w:sz w:val="24"/>
      <w:szCs w:val="24"/>
    </w:rPr>
  </w:style>
  <w:style w:type="character" w:customStyle="1" w:styleId="paragraphtitleChar">
    <w:name w:val="paragraph title Char"/>
    <w:basedOn w:val="DefaultParagraphFont"/>
    <w:link w:val="paragraphtitle"/>
    <w:locked/>
    <w:rsid w:val="00E02C42"/>
    <w:rPr>
      <w:rFonts w:ascii="Times New Roman" w:eastAsia="Times New Roman" w:hAnsi="Times New Roman" w:cs="Times New Roman"/>
      <w:b/>
      <w:bCs/>
      <w:color w:val="000080"/>
      <w:sz w:val="24"/>
      <w:szCs w:val="24"/>
    </w:rPr>
  </w:style>
  <w:style w:type="table" w:styleId="GridTable1Light-Accent1">
    <w:name w:val="Grid Table 1 Light Accent 1"/>
    <w:basedOn w:val="TableNormal"/>
    <w:uiPriority w:val="46"/>
    <w:rsid w:val="004B5118"/>
    <w:pPr>
      <w:spacing w:after="0" w:line="240" w:lineRule="auto"/>
    </w:pPr>
    <w:rPr>
      <w:rFonts w:eastAsiaTheme="minorHAnsi"/>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uiPriority w:val="99"/>
    <w:rsid w:val="005E2B76"/>
    <w:pPr>
      <w:keepNext/>
      <w:autoSpaceDE w:val="0"/>
      <w:autoSpaceDN w:val="0"/>
      <w:adjustRightInd w:val="0"/>
      <w:spacing w:after="0" w:line="240" w:lineRule="auto"/>
      <w:jc w:val="left"/>
    </w:pPr>
    <w:rPr>
      <w:rFonts w:ascii="Times New Roman" w:eastAsia="Times New Roman" w:hAnsi="Times New Roman" w:cs="Times New Roman"/>
      <w:b/>
      <w:bCs/>
      <w:color w:val="000080"/>
      <w:sz w:val="24"/>
      <w:szCs w:val="24"/>
    </w:rPr>
  </w:style>
  <w:style w:type="character" w:customStyle="1" w:styleId="Style1Char">
    <w:name w:val="Style1 Char"/>
    <w:basedOn w:val="DefaultParagraphFont"/>
    <w:link w:val="Style1"/>
    <w:uiPriority w:val="99"/>
    <w:locked/>
    <w:rsid w:val="005E2B76"/>
    <w:rPr>
      <w:rFonts w:ascii="Times New Roman" w:eastAsia="Times New Roman" w:hAnsi="Times New Roman" w:cs="Times New Roman"/>
      <w:b/>
      <w:bCs/>
      <w:color w:val="000080"/>
      <w:sz w:val="24"/>
      <w:szCs w:val="24"/>
    </w:rPr>
  </w:style>
  <w:style w:type="paragraph" w:customStyle="1" w:styleId="FilingHeading2">
    <w:name w:val="Filing Heading 2"/>
    <w:basedOn w:val="Normal"/>
    <w:link w:val="FilingHeading2Char"/>
    <w:rsid w:val="00042615"/>
    <w:pPr>
      <w:spacing w:after="0" w:line="276" w:lineRule="auto"/>
    </w:pPr>
    <w:rPr>
      <w:rFonts w:ascii="Arial" w:hAnsi="Arial" w:cs="Arial"/>
      <w:b/>
      <w:bCs/>
      <w:sz w:val="24"/>
      <w:szCs w:val="24"/>
      <w:u w:val="single"/>
    </w:rPr>
  </w:style>
  <w:style w:type="character" w:customStyle="1" w:styleId="FilingHeading2Char">
    <w:name w:val="Filing Heading 2 Char"/>
    <w:basedOn w:val="DefaultParagraphFont"/>
    <w:link w:val="FilingHeading2"/>
    <w:rsid w:val="00042615"/>
    <w:rPr>
      <w:rFonts w:ascii="Arial" w:hAnsi="Arial" w:cs="Arial"/>
      <w:b/>
      <w:bCs/>
      <w:sz w:val="24"/>
      <w:szCs w:val="24"/>
      <w:u w:val="single"/>
    </w:rPr>
  </w:style>
  <w:style w:type="paragraph" w:styleId="BalloonText">
    <w:name w:val="Balloon Text"/>
    <w:basedOn w:val="Normal"/>
    <w:link w:val="BalloonTextChar"/>
    <w:uiPriority w:val="99"/>
    <w:semiHidden/>
    <w:unhideWhenUsed/>
    <w:rsid w:val="000D33E9"/>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0D33E9"/>
    <w:rPr>
      <w:rFonts w:ascii="Segoe UI" w:eastAsiaTheme="minorHAnsi" w:hAnsi="Segoe UI" w:cs="Segoe UI"/>
      <w:sz w:val="18"/>
      <w:szCs w:val="18"/>
    </w:rPr>
  </w:style>
  <w:style w:type="paragraph" w:customStyle="1" w:styleId="BodyText1">
    <w:name w:val="Body Text 1"/>
    <w:basedOn w:val="Normal"/>
    <w:rsid w:val="000D33E9"/>
    <w:pPr>
      <w:spacing w:after="120" w:line="240" w:lineRule="auto"/>
    </w:pPr>
    <w:rPr>
      <w:rFonts w:ascii="Arial" w:eastAsiaTheme="minorHAnsi" w:hAnsi="Arial" w:cs="Arial"/>
      <w:sz w:val="24"/>
    </w:rPr>
  </w:style>
  <w:style w:type="paragraph" w:customStyle="1" w:styleId="xmsolistparagraph">
    <w:name w:val="x_msolistparagraph"/>
    <w:basedOn w:val="Normal"/>
    <w:rsid w:val="000D33E9"/>
    <w:pPr>
      <w:spacing w:after="0" w:line="240" w:lineRule="auto"/>
      <w:ind w:left="720"/>
    </w:pPr>
    <w:rPr>
      <w:rFonts w:ascii="Calibri" w:eastAsiaTheme="minorHAnsi" w:hAnsi="Calibri" w:cs="Calibri"/>
      <w:sz w:val="24"/>
    </w:rPr>
  </w:style>
  <w:style w:type="paragraph" w:customStyle="1" w:styleId="xmsonormal">
    <w:name w:val="x_msonormal"/>
    <w:basedOn w:val="Normal"/>
    <w:rsid w:val="000D33E9"/>
    <w:pPr>
      <w:spacing w:after="0" w:line="240" w:lineRule="auto"/>
    </w:pPr>
    <w:rPr>
      <w:rFonts w:ascii="Calibri" w:eastAsiaTheme="minorHAnsi" w:hAnsi="Calibri" w:cs="Calibri"/>
      <w:sz w:val="24"/>
    </w:rPr>
  </w:style>
  <w:style w:type="paragraph" w:styleId="PlainText">
    <w:name w:val="Plain Text"/>
    <w:basedOn w:val="Normal"/>
    <w:link w:val="PlainTextChar"/>
    <w:uiPriority w:val="99"/>
    <w:unhideWhenUsed/>
    <w:rsid w:val="000D33E9"/>
    <w:pPr>
      <w:spacing w:after="0" w:line="240" w:lineRule="auto"/>
    </w:pPr>
    <w:rPr>
      <w:rFonts w:ascii="Calibri" w:eastAsiaTheme="minorHAnsi" w:hAnsi="Calibri"/>
      <w:sz w:val="24"/>
      <w:szCs w:val="21"/>
    </w:rPr>
  </w:style>
  <w:style w:type="character" w:customStyle="1" w:styleId="PlainTextChar">
    <w:name w:val="Plain Text Char"/>
    <w:basedOn w:val="DefaultParagraphFont"/>
    <w:link w:val="PlainText"/>
    <w:uiPriority w:val="99"/>
    <w:rsid w:val="000D33E9"/>
    <w:rPr>
      <w:rFonts w:ascii="Calibri" w:eastAsiaTheme="minorHAnsi" w:hAnsi="Calibri"/>
      <w:sz w:val="24"/>
      <w:szCs w:val="21"/>
    </w:rPr>
  </w:style>
  <w:style w:type="character" w:styleId="UnresolvedMention">
    <w:name w:val="Unresolved Mention"/>
    <w:basedOn w:val="DefaultParagraphFont"/>
    <w:uiPriority w:val="99"/>
    <w:unhideWhenUsed/>
    <w:rsid w:val="000D33E9"/>
    <w:rPr>
      <w:color w:val="605E5C"/>
      <w:shd w:val="clear" w:color="auto" w:fill="E1DFDD"/>
    </w:rPr>
  </w:style>
  <w:style w:type="character" w:customStyle="1" w:styleId="eop">
    <w:name w:val="eop"/>
    <w:basedOn w:val="DefaultParagraphFont"/>
    <w:rsid w:val="000D33E9"/>
  </w:style>
  <w:style w:type="character" w:customStyle="1" w:styleId="scxw93638708">
    <w:name w:val="scxw93638708"/>
    <w:basedOn w:val="DefaultParagraphFont"/>
    <w:rsid w:val="000D33E9"/>
  </w:style>
  <w:style w:type="paragraph" w:customStyle="1" w:styleId="paragraph">
    <w:name w:val="paragraph"/>
    <w:basedOn w:val="Normal"/>
    <w:rsid w:val="000D33E9"/>
    <w:pPr>
      <w:spacing w:after="0" w:line="240" w:lineRule="auto"/>
    </w:pPr>
    <w:rPr>
      <w:rFonts w:ascii="Times New Roman" w:eastAsia="Times New Roman" w:hAnsi="Times New Roman" w:cs="Times New Roman"/>
      <w:sz w:val="24"/>
      <w:szCs w:val="24"/>
    </w:rPr>
  </w:style>
  <w:style w:type="paragraph" w:customStyle="1" w:styleId="xxmsonormal">
    <w:name w:val="x_x_msonormal"/>
    <w:basedOn w:val="Normal"/>
    <w:rsid w:val="000D33E9"/>
    <w:pPr>
      <w:spacing w:after="0" w:line="240" w:lineRule="auto"/>
    </w:pPr>
    <w:rPr>
      <w:rFonts w:ascii="Calibri" w:eastAsiaTheme="minorHAnsi" w:hAnsi="Calibri" w:cs="Calibri"/>
      <w:sz w:val="24"/>
    </w:rPr>
  </w:style>
  <w:style w:type="character" w:styleId="FollowedHyperlink">
    <w:name w:val="FollowedHyperlink"/>
    <w:basedOn w:val="DefaultParagraphFont"/>
    <w:uiPriority w:val="99"/>
    <w:semiHidden/>
    <w:unhideWhenUsed/>
    <w:rsid w:val="000D33E9"/>
    <w:rPr>
      <w:color w:val="954F72" w:themeColor="followedHyperlink"/>
      <w:u w:val="single"/>
    </w:rPr>
  </w:style>
  <w:style w:type="paragraph" w:customStyle="1" w:styleId="psection-1">
    <w:name w:val="psection-1"/>
    <w:basedOn w:val="Normal"/>
    <w:rsid w:val="000D33E9"/>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enumxml">
    <w:name w:val="enumxml"/>
    <w:basedOn w:val="DefaultParagraphFont"/>
    <w:rsid w:val="000D33E9"/>
  </w:style>
  <w:style w:type="character" w:styleId="PageNumber">
    <w:name w:val="page number"/>
    <w:basedOn w:val="DefaultParagraphFont"/>
    <w:rsid w:val="000D33E9"/>
    <w:rPr>
      <w:rFonts w:cs="Times New Roman"/>
    </w:rPr>
  </w:style>
  <w:style w:type="character" w:customStyle="1" w:styleId="cf01">
    <w:name w:val="cf01"/>
    <w:basedOn w:val="DefaultParagraphFont"/>
    <w:rsid w:val="00AA5062"/>
    <w:rPr>
      <w:rFonts w:ascii="Segoe UI" w:hAnsi="Segoe UI" w:cs="Segoe UI" w:hint="default"/>
      <w:sz w:val="18"/>
      <w:szCs w:val="18"/>
    </w:rPr>
  </w:style>
  <w:style w:type="character" w:customStyle="1" w:styleId="ui-provider">
    <w:name w:val="ui-provider"/>
    <w:basedOn w:val="DefaultParagraphFont"/>
    <w:rsid w:val="00854013"/>
  </w:style>
  <w:style w:type="character" w:customStyle="1" w:styleId="cf11">
    <w:name w:val="cf11"/>
    <w:basedOn w:val="DefaultParagraphFont"/>
    <w:rsid w:val="000D7E77"/>
    <w:rPr>
      <w:rFonts w:ascii="Segoe UI" w:hAnsi="Segoe UI" w:cs="Segoe UI" w:hint="default"/>
      <w:color w:val="2B579A"/>
      <w:sz w:val="18"/>
      <w:szCs w:val="18"/>
      <w:shd w:val="clear" w:color="auto" w:fill="E1DFDD"/>
    </w:rPr>
  </w:style>
  <w:style w:type="character" w:customStyle="1" w:styleId="findhit">
    <w:name w:val="findhit"/>
    <w:basedOn w:val="DefaultParagraphFont"/>
    <w:rsid w:val="00272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8022">
      <w:bodyDiv w:val="1"/>
      <w:marLeft w:val="0"/>
      <w:marRight w:val="0"/>
      <w:marTop w:val="0"/>
      <w:marBottom w:val="0"/>
      <w:divBdr>
        <w:top w:val="none" w:sz="0" w:space="0" w:color="auto"/>
        <w:left w:val="none" w:sz="0" w:space="0" w:color="auto"/>
        <w:bottom w:val="none" w:sz="0" w:space="0" w:color="auto"/>
        <w:right w:val="none" w:sz="0" w:space="0" w:color="auto"/>
      </w:divBdr>
    </w:div>
    <w:div w:id="135416998">
      <w:bodyDiv w:val="1"/>
      <w:marLeft w:val="0"/>
      <w:marRight w:val="0"/>
      <w:marTop w:val="0"/>
      <w:marBottom w:val="0"/>
      <w:divBdr>
        <w:top w:val="none" w:sz="0" w:space="0" w:color="auto"/>
        <w:left w:val="none" w:sz="0" w:space="0" w:color="auto"/>
        <w:bottom w:val="none" w:sz="0" w:space="0" w:color="auto"/>
        <w:right w:val="none" w:sz="0" w:space="0" w:color="auto"/>
      </w:divBdr>
    </w:div>
    <w:div w:id="164247754">
      <w:bodyDiv w:val="1"/>
      <w:marLeft w:val="0"/>
      <w:marRight w:val="0"/>
      <w:marTop w:val="0"/>
      <w:marBottom w:val="0"/>
      <w:divBdr>
        <w:top w:val="none" w:sz="0" w:space="0" w:color="auto"/>
        <w:left w:val="none" w:sz="0" w:space="0" w:color="auto"/>
        <w:bottom w:val="none" w:sz="0" w:space="0" w:color="auto"/>
        <w:right w:val="none" w:sz="0" w:space="0" w:color="auto"/>
      </w:divBdr>
    </w:div>
    <w:div w:id="190264687">
      <w:bodyDiv w:val="1"/>
      <w:marLeft w:val="0"/>
      <w:marRight w:val="0"/>
      <w:marTop w:val="0"/>
      <w:marBottom w:val="0"/>
      <w:divBdr>
        <w:top w:val="none" w:sz="0" w:space="0" w:color="auto"/>
        <w:left w:val="none" w:sz="0" w:space="0" w:color="auto"/>
        <w:bottom w:val="none" w:sz="0" w:space="0" w:color="auto"/>
        <w:right w:val="none" w:sz="0" w:space="0" w:color="auto"/>
      </w:divBdr>
    </w:div>
    <w:div w:id="205022824">
      <w:bodyDiv w:val="1"/>
      <w:marLeft w:val="0"/>
      <w:marRight w:val="0"/>
      <w:marTop w:val="0"/>
      <w:marBottom w:val="0"/>
      <w:divBdr>
        <w:top w:val="none" w:sz="0" w:space="0" w:color="auto"/>
        <w:left w:val="none" w:sz="0" w:space="0" w:color="auto"/>
        <w:bottom w:val="none" w:sz="0" w:space="0" w:color="auto"/>
        <w:right w:val="none" w:sz="0" w:space="0" w:color="auto"/>
      </w:divBdr>
    </w:div>
    <w:div w:id="213547244">
      <w:bodyDiv w:val="1"/>
      <w:marLeft w:val="0"/>
      <w:marRight w:val="0"/>
      <w:marTop w:val="0"/>
      <w:marBottom w:val="0"/>
      <w:divBdr>
        <w:top w:val="none" w:sz="0" w:space="0" w:color="auto"/>
        <w:left w:val="none" w:sz="0" w:space="0" w:color="auto"/>
        <w:bottom w:val="none" w:sz="0" w:space="0" w:color="auto"/>
        <w:right w:val="none" w:sz="0" w:space="0" w:color="auto"/>
      </w:divBdr>
    </w:div>
    <w:div w:id="273901182">
      <w:bodyDiv w:val="1"/>
      <w:marLeft w:val="0"/>
      <w:marRight w:val="0"/>
      <w:marTop w:val="0"/>
      <w:marBottom w:val="0"/>
      <w:divBdr>
        <w:top w:val="none" w:sz="0" w:space="0" w:color="auto"/>
        <w:left w:val="none" w:sz="0" w:space="0" w:color="auto"/>
        <w:bottom w:val="none" w:sz="0" w:space="0" w:color="auto"/>
        <w:right w:val="none" w:sz="0" w:space="0" w:color="auto"/>
      </w:divBdr>
    </w:div>
    <w:div w:id="391393158">
      <w:bodyDiv w:val="1"/>
      <w:marLeft w:val="0"/>
      <w:marRight w:val="0"/>
      <w:marTop w:val="0"/>
      <w:marBottom w:val="0"/>
      <w:divBdr>
        <w:top w:val="none" w:sz="0" w:space="0" w:color="auto"/>
        <w:left w:val="none" w:sz="0" w:space="0" w:color="auto"/>
        <w:bottom w:val="none" w:sz="0" w:space="0" w:color="auto"/>
        <w:right w:val="none" w:sz="0" w:space="0" w:color="auto"/>
      </w:divBdr>
    </w:div>
    <w:div w:id="597103267">
      <w:bodyDiv w:val="1"/>
      <w:marLeft w:val="0"/>
      <w:marRight w:val="0"/>
      <w:marTop w:val="0"/>
      <w:marBottom w:val="0"/>
      <w:divBdr>
        <w:top w:val="none" w:sz="0" w:space="0" w:color="auto"/>
        <w:left w:val="none" w:sz="0" w:space="0" w:color="auto"/>
        <w:bottom w:val="none" w:sz="0" w:space="0" w:color="auto"/>
        <w:right w:val="none" w:sz="0" w:space="0" w:color="auto"/>
      </w:divBdr>
    </w:div>
    <w:div w:id="671496168">
      <w:bodyDiv w:val="1"/>
      <w:marLeft w:val="0"/>
      <w:marRight w:val="0"/>
      <w:marTop w:val="0"/>
      <w:marBottom w:val="0"/>
      <w:divBdr>
        <w:top w:val="none" w:sz="0" w:space="0" w:color="auto"/>
        <w:left w:val="none" w:sz="0" w:space="0" w:color="auto"/>
        <w:bottom w:val="none" w:sz="0" w:space="0" w:color="auto"/>
        <w:right w:val="none" w:sz="0" w:space="0" w:color="auto"/>
      </w:divBdr>
    </w:div>
    <w:div w:id="830371412">
      <w:bodyDiv w:val="1"/>
      <w:marLeft w:val="0"/>
      <w:marRight w:val="0"/>
      <w:marTop w:val="0"/>
      <w:marBottom w:val="0"/>
      <w:divBdr>
        <w:top w:val="none" w:sz="0" w:space="0" w:color="auto"/>
        <w:left w:val="none" w:sz="0" w:space="0" w:color="auto"/>
        <w:bottom w:val="none" w:sz="0" w:space="0" w:color="auto"/>
        <w:right w:val="none" w:sz="0" w:space="0" w:color="auto"/>
      </w:divBdr>
    </w:div>
    <w:div w:id="858664835">
      <w:bodyDiv w:val="1"/>
      <w:marLeft w:val="0"/>
      <w:marRight w:val="0"/>
      <w:marTop w:val="0"/>
      <w:marBottom w:val="0"/>
      <w:divBdr>
        <w:top w:val="none" w:sz="0" w:space="0" w:color="auto"/>
        <w:left w:val="none" w:sz="0" w:space="0" w:color="auto"/>
        <w:bottom w:val="none" w:sz="0" w:space="0" w:color="auto"/>
        <w:right w:val="none" w:sz="0" w:space="0" w:color="auto"/>
      </w:divBdr>
    </w:div>
    <w:div w:id="866287546">
      <w:bodyDiv w:val="1"/>
      <w:marLeft w:val="0"/>
      <w:marRight w:val="0"/>
      <w:marTop w:val="0"/>
      <w:marBottom w:val="0"/>
      <w:divBdr>
        <w:top w:val="none" w:sz="0" w:space="0" w:color="auto"/>
        <w:left w:val="none" w:sz="0" w:space="0" w:color="auto"/>
        <w:bottom w:val="none" w:sz="0" w:space="0" w:color="auto"/>
        <w:right w:val="none" w:sz="0" w:space="0" w:color="auto"/>
      </w:divBdr>
      <w:divsChild>
        <w:div w:id="1017854491">
          <w:marLeft w:val="0"/>
          <w:marRight w:val="0"/>
          <w:marTop w:val="0"/>
          <w:marBottom w:val="120"/>
          <w:divBdr>
            <w:top w:val="none" w:sz="0" w:space="0" w:color="auto"/>
            <w:left w:val="none" w:sz="0" w:space="0" w:color="auto"/>
            <w:bottom w:val="none" w:sz="0" w:space="0" w:color="auto"/>
            <w:right w:val="none" w:sz="0" w:space="0" w:color="auto"/>
          </w:divBdr>
          <w:divsChild>
            <w:div w:id="1184324499">
              <w:marLeft w:val="0"/>
              <w:marRight w:val="0"/>
              <w:marTop w:val="0"/>
              <w:marBottom w:val="0"/>
              <w:divBdr>
                <w:top w:val="none" w:sz="0" w:space="0" w:color="auto"/>
                <w:left w:val="none" w:sz="0" w:space="0" w:color="auto"/>
                <w:bottom w:val="none" w:sz="0" w:space="0" w:color="auto"/>
                <w:right w:val="none" w:sz="0" w:space="0" w:color="auto"/>
              </w:divBdr>
            </w:div>
          </w:divsChild>
        </w:div>
        <w:div w:id="1104812339">
          <w:marLeft w:val="0"/>
          <w:marRight w:val="0"/>
          <w:marTop w:val="0"/>
          <w:marBottom w:val="120"/>
          <w:divBdr>
            <w:top w:val="none" w:sz="0" w:space="0" w:color="auto"/>
            <w:left w:val="none" w:sz="0" w:space="0" w:color="auto"/>
            <w:bottom w:val="none" w:sz="0" w:space="0" w:color="auto"/>
            <w:right w:val="none" w:sz="0" w:space="0" w:color="auto"/>
          </w:divBdr>
          <w:divsChild>
            <w:div w:id="154081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12688">
      <w:bodyDiv w:val="1"/>
      <w:marLeft w:val="0"/>
      <w:marRight w:val="0"/>
      <w:marTop w:val="0"/>
      <w:marBottom w:val="0"/>
      <w:divBdr>
        <w:top w:val="none" w:sz="0" w:space="0" w:color="auto"/>
        <w:left w:val="none" w:sz="0" w:space="0" w:color="auto"/>
        <w:bottom w:val="none" w:sz="0" w:space="0" w:color="auto"/>
        <w:right w:val="none" w:sz="0" w:space="0" w:color="auto"/>
      </w:divBdr>
      <w:divsChild>
        <w:div w:id="1135489849">
          <w:marLeft w:val="0"/>
          <w:marRight w:val="0"/>
          <w:marTop w:val="375"/>
          <w:marBottom w:val="225"/>
          <w:divBdr>
            <w:top w:val="none" w:sz="0" w:space="0" w:color="auto"/>
            <w:left w:val="none" w:sz="0" w:space="0" w:color="auto"/>
            <w:bottom w:val="none" w:sz="0" w:space="0" w:color="auto"/>
            <w:right w:val="none" w:sz="0" w:space="0" w:color="auto"/>
          </w:divBdr>
          <w:divsChild>
            <w:div w:id="148500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84107">
      <w:bodyDiv w:val="1"/>
      <w:marLeft w:val="0"/>
      <w:marRight w:val="0"/>
      <w:marTop w:val="0"/>
      <w:marBottom w:val="0"/>
      <w:divBdr>
        <w:top w:val="none" w:sz="0" w:space="0" w:color="auto"/>
        <w:left w:val="none" w:sz="0" w:space="0" w:color="auto"/>
        <w:bottom w:val="none" w:sz="0" w:space="0" w:color="auto"/>
        <w:right w:val="none" w:sz="0" w:space="0" w:color="auto"/>
      </w:divBdr>
    </w:div>
    <w:div w:id="1019696026">
      <w:bodyDiv w:val="1"/>
      <w:marLeft w:val="0"/>
      <w:marRight w:val="0"/>
      <w:marTop w:val="0"/>
      <w:marBottom w:val="0"/>
      <w:divBdr>
        <w:top w:val="none" w:sz="0" w:space="0" w:color="auto"/>
        <w:left w:val="none" w:sz="0" w:space="0" w:color="auto"/>
        <w:bottom w:val="none" w:sz="0" w:space="0" w:color="auto"/>
        <w:right w:val="none" w:sz="0" w:space="0" w:color="auto"/>
      </w:divBdr>
    </w:div>
    <w:div w:id="1040057188">
      <w:bodyDiv w:val="1"/>
      <w:marLeft w:val="0"/>
      <w:marRight w:val="0"/>
      <w:marTop w:val="0"/>
      <w:marBottom w:val="0"/>
      <w:divBdr>
        <w:top w:val="none" w:sz="0" w:space="0" w:color="auto"/>
        <w:left w:val="none" w:sz="0" w:space="0" w:color="auto"/>
        <w:bottom w:val="none" w:sz="0" w:space="0" w:color="auto"/>
        <w:right w:val="none" w:sz="0" w:space="0" w:color="auto"/>
      </w:divBdr>
    </w:div>
    <w:div w:id="1127434387">
      <w:bodyDiv w:val="1"/>
      <w:marLeft w:val="0"/>
      <w:marRight w:val="0"/>
      <w:marTop w:val="0"/>
      <w:marBottom w:val="0"/>
      <w:divBdr>
        <w:top w:val="none" w:sz="0" w:space="0" w:color="auto"/>
        <w:left w:val="none" w:sz="0" w:space="0" w:color="auto"/>
        <w:bottom w:val="none" w:sz="0" w:space="0" w:color="auto"/>
        <w:right w:val="none" w:sz="0" w:space="0" w:color="auto"/>
      </w:divBdr>
    </w:div>
    <w:div w:id="1241479459">
      <w:bodyDiv w:val="1"/>
      <w:marLeft w:val="0"/>
      <w:marRight w:val="0"/>
      <w:marTop w:val="0"/>
      <w:marBottom w:val="0"/>
      <w:divBdr>
        <w:top w:val="none" w:sz="0" w:space="0" w:color="auto"/>
        <w:left w:val="none" w:sz="0" w:space="0" w:color="auto"/>
        <w:bottom w:val="none" w:sz="0" w:space="0" w:color="auto"/>
        <w:right w:val="none" w:sz="0" w:space="0" w:color="auto"/>
      </w:divBdr>
    </w:div>
    <w:div w:id="1275137625">
      <w:bodyDiv w:val="1"/>
      <w:marLeft w:val="0"/>
      <w:marRight w:val="0"/>
      <w:marTop w:val="0"/>
      <w:marBottom w:val="0"/>
      <w:divBdr>
        <w:top w:val="none" w:sz="0" w:space="0" w:color="auto"/>
        <w:left w:val="none" w:sz="0" w:space="0" w:color="auto"/>
        <w:bottom w:val="none" w:sz="0" w:space="0" w:color="auto"/>
        <w:right w:val="none" w:sz="0" w:space="0" w:color="auto"/>
      </w:divBdr>
    </w:div>
    <w:div w:id="1311639610">
      <w:bodyDiv w:val="1"/>
      <w:marLeft w:val="0"/>
      <w:marRight w:val="0"/>
      <w:marTop w:val="0"/>
      <w:marBottom w:val="0"/>
      <w:divBdr>
        <w:top w:val="none" w:sz="0" w:space="0" w:color="auto"/>
        <w:left w:val="none" w:sz="0" w:space="0" w:color="auto"/>
        <w:bottom w:val="none" w:sz="0" w:space="0" w:color="auto"/>
        <w:right w:val="none" w:sz="0" w:space="0" w:color="auto"/>
      </w:divBdr>
    </w:div>
    <w:div w:id="1319725499">
      <w:bodyDiv w:val="1"/>
      <w:marLeft w:val="0"/>
      <w:marRight w:val="0"/>
      <w:marTop w:val="0"/>
      <w:marBottom w:val="0"/>
      <w:divBdr>
        <w:top w:val="none" w:sz="0" w:space="0" w:color="auto"/>
        <w:left w:val="none" w:sz="0" w:space="0" w:color="auto"/>
        <w:bottom w:val="none" w:sz="0" w:space="0" w:color="auto"/>
        <w:right w:val="none" w:sz="0" w:space="0" w:color="auto"/>
      </w:divBdr>
    </w:div>
    <w:div w:id="1333875831">
      <w:bodyDiv w:val="1"/>
      <w:marLeft w:val="0"/>
      <w:marRight w:val="0"/>
      <w:marTop w:val="0"/>
      <w:marBottom w:val="0"/>
      <w:divBdr>
        <w:top w:val="none" w:sz="0" w:space="0" w:color="auto"/>
        <w:left w:val="none" w:sz="0" w:space="0" w:color="auto"/>
        <w:bottom w:val="none" w:sz="0" w:space="0" w:color="auto"/>
        <w:right w:val="none" w:sz="0" w:space="0" w:color="auto"/>
      </w:divBdr>
    </w:div>
    <w:div w:id="1419014762">
      <w:bodyDiv w:val="1"/>
      <w:marLeft w:val="0"/>
      <w:marRight w:val="0"/>
      <w:marTop w:val="0"/>
      <w:marBottom w:val="0"/>
      <w:divBdr>
        <w:top w:val="none" w:sz="0" w:space="0" w:color="auto"/>
        <w:left w:val="none" w:sz="0" w:space="0" w:color="auto"/>
        <w:bottom w:val="none" w:sz="0" w:space="0" w:color="auto"/>
        <w:right w:val="none" w:sz="0" w:space="0" w:color="auto"/>
      </w:divBdr>
    </w:div>
    <w:div w:id="1430735463">
      <w:bodyDiv w:val="1"/>
      <w:marLeft w:val="0"/>
      <w:marRight w:val="0"/>
      <w:marTop w:val="0"/>
      <w:marBottom w:val="0"/>
      <w:divBdr>
        <w:top w:val="none" w:sz="0" w:space="0" w:color="auto"/>
        <w:left w:val="none" w:sz="0" w:space="0" w:color="auto"/>
        <w:bottom w:val="none" w:sz="0" w:space="0" w:color="auto"/>
        <w:right w:val="none" w:sz="0" w:space="0" w:color="auto"/>
      </w:divBdr>
    </w:div>
    <w:div w:id="1433085438">
      <w:bodyDiv w:val="1"/>
      <w:marLeft w:val="0"/>
      <w:marRight w:val="0"/>
      <w:marTop w:val="0"/>
      <w:marBottom w:val="0"/>
      <w:divBdr>
        <w:top w:val="none" w:sz="0" w:space="0" w:color="auto"/>
        <w:left w:val="none" w:sz="0" w:space="0" w:color="auto"/>
        <w:bottom w:val="none" w:sz="0" w:space="0" w:color="auto"/>
        <w:right w:val="none" w:sz="0" w:space="0" w:color="auto"/>
      </w:divBdr>
    </w:div>
    <w:div w:id="1627199414">
      <w:bodyDiv w:val="1"/>
      <w:marLeft w:val="0"/>
      <w:marRight w:val="0"/>
      <w:marTop w:val="0"/>
      <w:marBottom w:val="0"/>
      <w:divBdr>
        <w:top w:val="none" w:sz="0" w:space="0" w:color="auto"/>
        <w:left w:val="none" w:sz="0" w:space="0" w:color="auto"/>
        <w:bottom w:val="none" w:sz="0" w:space="0" w:color="auto"/>
        <w:right w:val="none" w:sz="0" w:space="0" w:color="auto"/>
      </w:divBdr>
      <w:divsChild>
        <w:div w:id="1670324028">
          <w:marLeft w:val="0"/>
          <w:marRight w:val="0"/>
          <w:marTop w:val="0"/>
          <w:marBottom w:val="120"/>
          <w:divBdr>
            <w:top w:val="none" w:sz="0" w:space="0" w:color="auto"/>
            <w:left w:val="none" w:sz="0" w:space="0" w:color="auto"/>
            <w:bottom w:val="none" w:sz="0" w:space="0" w:color="auto"/>
            <w:right w:val="none" w:sz="0" w:space="0" w:color="auto"/>
          </w:divBdr>
          <w:divsChild>
            <w:div w:id="72316415">
              <w:marLeft w:val="0"/>
              <w:marRight w:val="0"/>
              <w:marTop w:val="0"/>
              <w:marBottom w:val="0"/>
              <w:divBdr>
                <w:top w:val="none" w:sz="0" w:space="0" w:color="auto"/>
                <w:left w:val="none" w:sz="0" w:space="0" w:color="auto"/>
                <w:bottom w:val="none" w:sz="0" w:space="0" w:color="auto"/>
                <w:right w:val="none" w:sz="0" w:space="0" w:color="auto"/>
              </w:divBdr>
            </w:div>
          </w:divsChild>
        </w:div>
        <w:div w:id="1687560258">
          <w:marLeft w:val="0"/>
          <w:marRight w:val="0"/>
          <w:marTop w:val="0"/>
          <w:marBottom w:val="120"/>
          <w:divBdr>
            <w:top w:val="none" w:sz="0" w:space="0" w:color="auto"/>
            <w:left w:val="none" w:sz="0" w:space="0" w:color="auto"/>
            <w:bottom w:val="none" w:sz="0" w:space="0" w:color="auto"/>
            <w:right w:val="none" w:sz="0" w:space="0" w:color="auto"/>
          </w:divBdr>
          <w:divsChild>
            <w:div w:id="137823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19834">
      <w:bodyDiv w:val="1"/>
      <w:marLeft w:val="0"/>
      <w:marRight w:val="0"/>
      <w:marTop w:val="0"/>
      <w:marBottom w:val="0"/>
      <w:divBdr>
        <w:top w:val="none" w:sz="0" w:space="0" w:color="auto"/>
        <w:left w:val="none" w:sz="0" w:space="0" w:color="auto"/>
        <w:bottom w:val="none" w:sz="0" w:space="0" w:color="auto"/>
        <w:right w:val="none" w:sz="0" w:space="0" w:color="auto"/>
      </w:divBdr>
    </w:div>
    <w:div w:id="1926185213">
      <w:bodyDiv w:val="1"/>
      <w:marLeft w:val="0"/>
      <w:marRight w:val="0"/>
      <w:marTop w:val="0"/>
      <w:marBottom w:val="0"/>
      <w:divBdr>
        <w:top w:val="none" w:sz="0" w:space="0" w:color="auto"/>
        <w:left w:val="none" w:sz="0" w:space="0" w:color="auto"/>
        <w:bottom w:val="none" w:sz="0" w:space="0" w:color="auto"/>
        <w:right w:val="none" w:sz="0" w:space="0" w:color="auto"/>
      </w:divBdr>
    </w:div>
    <w:div w:id="200843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3677-B912-488F-A06D-D3A18D353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26865</Words>
  <Characters>153136</Characters>
  <Application>Microsoft Office Word</Application>
  <DocSecurity>0</DocSecurity>
  <Lines>1276</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2024-03-29T13:31:00Z</dcterms:created>
  <dcterms:modified xsi:type="dcterms:W3CDTF">2024-03-29T13:31:00Z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2024-03-28T19:25:16Z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dbc7500c-9315-483d-96ce-d2de83802fca</vt:lpwstr>
  </property>
  <property fmtid="{D5CDD505-2E9C-101B-9397-08002B2CF9AE}" pid="8" name="MSIP_Label_ed3826ce-7c18-471d-9596-93de5bae332e_ContentBits">
    <vt:lpwstr>0</vt:lpwstr>
  </property>
  <property fmtid="{D5CDD505-2E9C-101B-9397-08002B2CF9AE}" pid="9" name="_MarkAsFinal">
    <vt:bool>true</vt:bool>
  </property>
</Properties>
</file>